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25510" w14:textId="4F682864" w:rsidR="006F1EB4" w:rsidRPr="00176FB6" w:rsidRDefault="001C2082" w:rsidP="003B22EA">
      <w:pPr>
        <w:spacing w:line="360" w:lineRule="auto"/>
        <w:jc w:val="center"/>
        <w:rPr>
          <w:rFonts w:ascii="Book Antiqua" w:hAnsi="Book Antiqua"/>
          <w:b/>
          <w:sz w:val="30"/>
          <w:szCs w:val="30"/>
          <w:lang w:val="en-US"/>
        </w:rPr>
      </w:pPr>
      <w:r>
        <w:rPr>
          <w:rFonts w:ascii="Book Antiqua" w:hAnsi="Book Antiqua"/>
          <w:b/>
          <w:sz w:val="30"/>
          <w:szCs w:val="30"/>
          <w:lang w:val="en-US"/>
        </w:rPr>
        <w:t>Disclosure of environmental practices.</w:t>
      </w:r>
      <w:r w:rsidR="006F1EB4" w:rsidRPr="00176FB6">
        <w:rPr>
          <w:rFonts w:ascii="Book Antiqua" w:hAnsi="Book Antiqua"/>
          <w:b/>
          <w:sz w:val="30"/>
          <w:szCs w:val="30"/>
          <w:lang w:val="en-US"/>
        </w:rPr>
        <w:t xml:space="preserve"> </w:t>
      </w:r>
    </w:p>
    <w:p w14:paraId="6D0EB9DB" w14:textId="260DA15F" w:rsidR="00F617C0" w:rsidRPr="00176FB6" w:rsidRDefault="002D2DD9" w:rsidP="003B22EA">
      <w:pPr>
        <w:spacing w:line="360" w:lineRule="auto"/>
        <w:jc w:val="center"/>
        <w:rPr>
          <w:rFonts w:ascii="Book Antiqua" w:hAnsi="Book Antiqua"/>
          <w:b/>
          <w:sz w:val="32"/>
          <w:lang w:val="en-US"/>
        </w:rPr>
      </w:pPr>
      <w:r w:rsidRPr="00176FB6">
        <w:rPr>
          <w:rFonts w:ascii="Book Antiqua" w:hAnsi="Book Antiqua"/>
          <w:b/>
          <w:sz w:val="30"/>
          <w:szCs w:val="30"/>
          <w:lang w:val="en-US"/>
        </w:rPr>
        <w:t>A</w:t>
      </w:r>
      <w:r w:rsidR="00770C7B">
        <w:rPr>
          <w:rFonts w:ascii="Book Antiqua" w:hAnsi="Book Antiqua"/>
          <w:b/>
          <w:sz w:val="30"/>
          <w:szCs w:val="30"/>
          <w:lang w:val="en-US"/>
        </w:rPr>
        <w:t xml:space="preserve">n explorative analysis from the leading </w:t>
      </w:r>
      <w:r w:rsidR="008A33C5">
        <w:rPr>
          <w:rFonts w:ascii="Book Antiqua" w:hAnsi="Book Antiqua"/>
          <w:b/>
          <w:sz w:val="30"/>
          <w:szCs w:val="30"/>
          <w:lang w:val="en-US"/>
        </w:rPr>
        <w:t>sustainable</w:t>
      </w:r>
      <w:r w:rsidR="00770C7B">
        <w:rPr>
          <w:rFonts w:ascii="Book Antiqua" w:hAnsi="Book Antiqua"/>
          <w:b/>
          <w:sz w:val="30"/>
          <w:szCs w:val="30"/>
          <w:lang w:val="en-US"/>
        </w:rPr>
        <w:t xml:space="preserve"> companies in </w:t>
      </w:r>
      <w:r w:rsidR="008A33C5">
        <w:rPr>
          <w:rFonts w:ascii="Book Antiqua" w:hAnsi="Book Antiqua"/>
          <w:b/>
          <w:sz w:val="30"/>
          <w:szCs w:val="30"/>
          <w:lang w:val="en-US"/>
        </w:rPr>
        <w:t>Italy</w:t>
      </w:r>
    </w:p>
    <w:p w14:paraId="68FD07F5" w14:textId="766DA092" w:rsidR="00F617C0" w:rsidRPr="003B22EA" w:rsidRDefault="00F617C0" w:rsidP="003B22EA">
      <w:pPr>
        <w:spacing w:after="240" w:line="360" w:lineRule="auto"/>
        <w:jc w:val="both"/>
        <w:rPr>
          <w:rFonts w:ascii="Book Antiqua" w:hAnsi="Book Antiqua"/>
          <w:sz w:val="28"/>
          <w:lang w:val="en-US"/>
        </w:rPr>
      </w:pPr>
    </w:p>
    <w:p w14:paraId="3BB7B009" w14:textId="505776DE" w:rsidR="003B22EA" w:rsidRPr="00D143BB" w:rsidRDefault="003B22EA" w:rsidP="003B22EA">
      <w:pPr>
        <w:jc w:val="center"/>
        <w:rPr>
          <w:rFonts w:ascii="Book Antiqua" w:hAnsi="Book Antiqua" w:cs="Times New Roman (Corpo CS)"/>
          <w:i/>
          <w:vertAlign w:val="superscript"/>
        </w:rPr>
      </w:pPr>
      <w:r w:rsidRPr="00D143BB">
        <w:rPr>
          <w:rFonts w:ascii="Book Antiqua" w:hAnsi="Book Antiqua"/>
          <w:i/>
        </w:rPr>
        <w:t>Simona Fiandrino</w:t>
      </w:r>
      <w:r w:rsidRPr="00D143BB">
        <w:rPr>
          <w:rFonts w:ascii="Book Antiqua" w:hAnsi="Book Antiqua" w:cs="Times New Roman (Corpo CS)"/>
          <w:i/>
          <w:vertAlign w:val="superscript"/>
        </w:rPr>
        <w:t>1</w:t>
      </w:r>
      <w:r w:rsidRPr="00D143BB">
        <w:rPr>
          <w:rFonts w:ascii="Book Antiqua" w:hAnsi="Book Antiqua"/>
          <w:i/>
        </w:rPr>
        <w:t>, Donatella Busso</w:t>
      </w:r>
      <w:r w:rsidRPr="00D143BB">
        <w:rPr>
          <w:rFonts w:ascii="Book Antiqua" w:hAnsi="Book Antiqua" w:cs="Times New Roman (Corpo CS)"/>
          <w:i/>
          <w:vertAlign w:val="superscript"/>
        </w:rPr>
        <w:t>1</w:t>
      </w:r>
      <w:r w:rsidRPr="00D143BB">
        <w:rPr>
          <w:rFonts w:ascii="Book Antiqua" w:hAnsi="Book Antiqua"/>
          <w:i/>
        </w:rPr>
        <w:t xml:space="preserve">, </w:t>
      </w:r>
      <w:r w:rsidR="00770C7B">
        <w:rPr>
          <w:rFonts w:ascii="Book Antiqua" w:hAnsi="Book Antiqua"/>
          <w:i/>
        </w:rPr>
        <w:t>Alain Devalle</w:t>
      </w:r>
      <w:r w:rsidRPr="00D143BB">
        <w:rPr>
          <w:rFonts w:ascii="Book Antiqua" w:hAnsi="Book Antiqua" w:cs="Times New Roman (Corpo CS)"/>
          <w:i/>
          <w:vertAlign w:val="superscript"/>
        </w:rPr>
        <w:t>2</w:t>
      </w:r>
      <w:r w:rsidR="001C2082">
        <w:rPr>
          <w:rFonts w:ascii="Book Antiqua" w:hAnsi="Book Antiqua" w:cs="Times New Roman (Corpo CS)"/>
          <w:i/>
          <w:vertAlign w:val="superscript"/>
        </w:rPr>
        <w:t>,</w:t>
      </w:r>
      <w:r w:rsidR="001C2082" w:rsidRPr="001C2082">
        <w:rPr>
          <w:rFonts w:ascii="Book Antiqua" w:hAnsi="Book Antiqua"/>
          <w:i/>
        </w:rPr>
        <w:t xml:space="preserve"> </w:t>
      </w:r>
      <w:r w:rsidR="001C2082">
        <w:rPr>
          <w:rFonts w:ascii="Book Antiqua" w:hAnsi="Book Antiqua"/>
          <w:i/>
        </w:rPr>
        <w:t>Antonella Lucchese</w:t>
      </w:r>
      <w:r w:rsidR="001C2082" w:rsidRPr="00D143BB">
        <w:rPr>
          <w:rFonts w:ascii="Book Antiqua" w:hAnsi="Book Antiqua" w:cs="Times New Roman (Corpo CS)"/>
          <w:i/>
          <w:vertAlign w:val="superscript"/>
        </w:rPr>
        <w:t>1</w:t>
      </w:r>
    </w:p>
    <w:p w14:paraId="10E91E8B" w14:textId="41AE95CD" w:rsidR="003B22EA" w:rsidRDefault="003B22EA" w:rsidP="003B22EA">
      <w:pPr>
        <w:jc w:val="both"/>
        <w:rPr>
          <w:rFonts w:ascii="Book Antiqua" w:hAnsi="Book Antiqua"/>
          <w:i/>
        </w:rPr>
      </w:pPr>
    </w:p>
    <w:p w14:paraId="61B5B961" w14:textId="12E72939" w:rsidR="00176FB6" w:rsidRDefault="00176FB6" w:rsidP="003B22EA">
      <w:pPr>
        <w:jc w:val="both"/>
        <w:rPr>
          <w:rFonts w:ascii="Book Antiqua" w:hAnsi="Book Antiqua"/>
          <w:i/>
        </w:rPr>
      </w:pPr>
    </w:p>
    <w:p w14:paraId="492527AE" w14:textId="77777777" w:rsidR="00176FB6" w:rsidRPr="00D143BB" w:rsidRDefault="00176FB6" w:rsidP="003B22EA">
      <w:pPr>
        <w:jc w:val="both"/>
        <w:rPr>
          <w:rFonts w:ascii="Book Antiqua" w:hAnsi="Book Antiqua"/>
          <w:i/>
        </w:rPr>
      </w:pPr>
    </w:p>
    <w:p w14:paraId="5A4562BB" w14:textId="1E7B12DA" w:rsidR="003B22EA" w:rsidRPr="002B2CCA" w:rsidRDefault="003B22EA" w:rsidP="003B22EA">
      <w:pPr>
        <w:jc w:val="center"/>
        <w:rPr>
          <w:rFonts w:ascii="Book Antiqua" w:hAnsi="Book Antiqua"/>
          <w:i/>
          <w:sz w:val="22"/>
          <w:lang w:val="en-US"/>
        </w:rPr>
      </w:pPr>
      <w:r w:rsidRPr="002B2CCA">
        <w:rPr>
          <w:rFonts w:ascii="Book Antiqua" w:hAnsi="Book Antiqua" w:cs="Times New Roman (Corpo CS)"/>
          <w:i/>
          <w:sz w:val="22"/>
          <w:vertAlign w:val="superscript"/>
          <w:lang w:val="en-US"/>
        </w:rPr>
        <w:t>1</w:t>
      </w:r>
      <w:r w:rsidRPr="002B2CCA">
        <w:rPr>
          <w:rFonts w:ascii="Book Antiqua" w:hAnsi="Book Antiqua"/>
          <w:i/>
          <w:sz w:val="22"/>
          <w:lang w:val="en-US"/>
        </w:rPr>
        <w:t>Department of Management, University of Turin</w:t>
      </w:r>
      <w:r w:rsidR="00176FB6">
        <w:rPr>
          <w:rFonts w:ascii="Book Antiqua" w:hAnsi="Book Antiqua"/>
          <w:i/>
          <w:sz w:val="22"/>
          <w:lang w:val="en-US"/>
        </w:rPr>
        <w:t>, Italy</w:t>
      </w:r>
    </w:p>
    <w:p w14:paraId="0B26A523" w14:textId="1EC054D0" w:rsidR="008A33C5" w:rsidRPr="008A33C5" w:rsidRDefault="003B22EA" w:rsidP="008A33C5">
      <w:pPr>
        <w:jc w:val="center"/>
        <w:rPr>
          <w:rFonts w:ascii="Book Antiqua" w:hAnsi="Book Antiqua" w:cs="Times New Roman (Corpo CS)"/>
          <w:i/>
          <w:sz w:val="22"/>
          <w:lang w:val="en-US"/>
        </w:rPr>
      </w:pPr>
      <w:r w:rsidRPr="002B2CCA">
        <w:rPr>
          <w:rFonts w:ascii="Book Antiqua" w:hAnsi="Book Antiqua" w:cs="Times New Roman (Corpo CS)"/>
          <w:i/>
          <w:sz w:val="22"/>
          <w:vertAlign w:val="superscript"/>
          <w:lang w:val="en-US"/>
        </w:rPr>
        <w:t>2</w:t>
      </w:r>
      <w:r w:rsidRPr="002B2CCA">
        <w:rPr>
          <w:rFonts w:ascii="Book Antiqua" w:hAnsi="Book Antiqua"/>
          <w:i/>
          <w:sz w:val="22"/>
          <w:lang w:val="en-US"/>
        </w:rPr>
        <w:t xml:space="preserve">Department </w:t>
      </w:r>
      <w:r w:rsidR="008A33C5" w:rsidRPr="008A33C5">
        <w:rPr>
          <w:rFonts w:ascii="Book Antiqua" w:hAnsi="Book Antiqua" w:cs="Times New Roman (Corpo CS)"/>
          <w:i/>
          <w:sz w:val="22"/>
          <w:lang w:val="en-US"/>
        </w:rPr>
        <w:t>of Economic, Social, Mathematical and Statistical Sciences, University of Turin</w:t>
      </w:r>
    </w:p>
    <w:p w14:paraId="71040B0E" w14:textId="230ED5A3" w:rsidR="00176FB6" w:rsidRDefault="00176FB6" w:rsidP="008A33C5">
      <w:pPr>
        <w:spacing w:after="240" w:line="276" w:lineRule="auto"/>
        <w:jc w:val="center"/>
        <w:rPr>
          <w:lang w:val="en-GB"/>
        </w:rPr>
      </w:pPr>
    </w:p>
    <w:p w14:paraId="3CC4F869" w14:textId="38A080D3" w:rsidR="00176FB6" w:rsidRDefault="00176FB6">
      <w:pPr>
        <w:rPr>
          <w:lang w:val="en-GB"/>
        </w:rPr>
      </w:pPr>
    </w:p>
    <w:p w14:paraId="198492DE" w14:textId="78487139" w:rsidR="00787852" w:rsidRDefault="00787852" w:rsidP="00787852">
      <w:pPr>
        <w:jc w:val="center"/>
        <w:rPr>
          <w:lang w:val="en-GB"/>
        </w:rPr>
      </w:pPr>
      <w:r>
        <w:rPr>
          <w:lang w:val="en-GB"/>
        </w:rPr>
        <w:t>TRACK NUMBER:</w:t>
      </w:r>
    </w:p>
    <w:p w14:paraId="1792EA62" w14:textId="77777777" w:rsidR="00787852" w:rsidRDefault="00787852" w:rsidP="00787852">
      <w:pPr>
        <w:rPr>
          <w:lang w:val="en-GB"/>
        </w:rPr>
      </w:pPr>
    </w:p>
    <w:p w14:paraId="2915A204" w14:textId="3B0056B4" w:rsidR="00787852" w:rsidRDefault="00787852" w:rsidP="00787852">
      <w:pPr>
        <w:jc w:val="center"/>
        <w:rPr>
          <w:lang w:val="en-GB"/>
        </w:rPr>
      </w:pPr>
      <w:r>
        <w:rPr>
          <w:lang w:val="en-GB"/>
        </w:rPr>
        <w:t>1 – ACCOUNTING</w:t>
      </w:r>
    </w:p>
    <w:p w14:paraId="469E58AD" w14:textId="170B1A4C" w:rsidR="00787852" w:rsidRDefault="00787852" w:rsidP="00787852">
      <w:pPr>
        <w:rPr>
          <w:lang w:val="en-GB"/>
        </w:rPr>
      </w:pPr>
    </w:p>
    <w:p w14:paraId="1FFCA676" w14:textId="13748614" w:rsidR="00787852" w:rsidRDefault="00787852" w:rsidP="00787852">
      <w:pPr>
        <w:jc w:val="center"/>
        <w:rPr>
          <w:lang w:val="en-GB"/>
        </w:rPr>
      </w:pPr>
      <w:r>
        <w:rPr>
          <w:lang w:val="en-GB"/>
        </w:rPr>
        <w:t>8 – CORPORATE SOCIAL RESPONSIBILITY</w:t>
      </w:r>
    </w:p>
    <w:p w14:paraId="7B791C4B" w14:textId="703F7609" w:rsidR="00787852" w:rsidRDefault="00787852" w:rsidP="00787852">
      <w:pPr>
        <w:rPr>
          <w:lang w:val="en-GB"/>
        </w:rPr>
      </w:pPr>
    </w:p>
    <w:p w14:paraId="4CB16888" w14:textId="4D03FB01" w:rsidR="00432623" w:rsidRDefault="00432623">
      <w:pPr>
        <w:rPr>
          <w:lang w:val="en-GB"/>
        </w:rPr>
      </w:pPr>
      <w:bookmarkStart w:id="0" w:name="_GoBack"/>
      <w:bookmarkEnd w:id="0"/>
    </w:p>
    <w:p w14:paraId="2CC127C9" w14:textId="77777777" w:rsidR="00432623" w:rsidRDefault="00432623">
      <w:pPr>
        <w:rPr>
          <w:lang w:val="en-GB"/>
        </w:rPr>
      </w:pPr>
    </w:p>
    <w:p w14:paraId="5171CB7B" w14:textId="30CCD2EF" w:rsidR="00176FB6" w:rsidRDefault="00176FB6">
      <w:pPr>
        <w:rPr>
          <w:rFonts w:ascii="Book Antiqua" w:hAnsi="Book Antiqua"/>
          <w:lang w:val="en-US"/>
        </w:rPr>
      </w:pPr>
      <w:r w:rsidRPr="00176FB6">
        <w:rPr>
          <w:lang w:val="en-GB"/>
        </w:rPr>
        <w:br w:type="page"/>
      </w:r>
    </w:p>
    <w:p w14:paraId="4E273684" w14:textId="2C4796D2" w:rsidR="00F617C0" w:rsidRPr="003971F1" w:rsidRDefault="00F617C0" w:rsidP="006E21A6">
      <w:pPr>
        <w:pStyle w:val="Titolo2"/>
      </w:pPr>
      <w:r w:rsidRPr="003971F1">
        <w:lastRenderedPageBreak/>
        <w:t>Introduction</w:t>
      </w:r>
    </w:p>
    <w:p w14:paraId="0EB7FD40" w14:textId="77777777" w:rsidR="00A50AE7" w:rsidRDefault="00A50AE7" w:rsidP="00F617C0">
      <w:pPr>
        <w:spacing w:after="120"/>
        <w:jc w:val="both"/>
        <w:rPr>
          <w:rFonts w:ascii="Book Antiqua" w:hAnsi="Book Antiqua"/>
          <w:lang w:val="en-US"/>
        </w:rPr>
      </w:pPr>
    </w:p>
    <w:p w14:paraId="12AEA35B" w14:textId="3454A51E" w:rsidR="00A50AE7" w:rsidRDefault="00565F74" w:rsidP="00A50AE7">
      <w:pPr>
        <w:spacing w:after="120"/>
        <w:jc w:val="both"/>
        <w:rPr>
          <w:rFonts w:ascii="Book Antiqua" w:hAnsi="Book Antiqua"/>
          <w:lang w:val="en-US"/>
        </w:rPr>
      </w:pPr>
      <w:r>
        <w:rPr>
          <w:rFonts w:ascii="Book Antiqua" w:hAnsi="Book Antiqua"/>
          <w:lang w:val="en-US"/>
        </w:rPr>
        <w:t>P</w:t>
      </w:r>
      <w:r w:rsidR="009E1A4A">
        <w:rPr>
          <w:rFonts w:ascii="Book Antiqua" w:hAnsi="Book Antiqua"/>
          <w:lang w:val="en-US"/>
        </w:rPr>
        <w:t>ractices in favor of the environment</w:t>
      </w:r>
      <w:r w:rsidR="00A50AE7" w:rsidRPr="00A50AE7">
        <w:rPr>
          <w:rFonts w:ascii="Book Antiqua" w:hAnsi="Book Antiqua"/>
          <w:lang w:val="en-US"/>
        </w:rPr>
        <w:t xml:space="preserve"> ha</w:t>
      </w:r>
      <w:r w:rsidR="00A50AE7">
        <w:rPr>
          <w:rFonts w:ascii="Book Antiqua" w:hAnsi="Book Antiqua"/>
          <w:lang w:val="en-US"/>
        </w:rPr>
        <w:t>ve</w:t>
      </w:r>
      <w:r w:rsidR="00A50AE7" w:rsidRPr="00A50AE7">
        <w:rPr>
          <w:rFonts w:ascii="Book Antiqua" w:hAnsi="Book Antiqua"/>
          <w:lang w:val="en-US"/>
        </w:rPr>
        <w:t xml:space="preserve"> become a compelling sustainable issue at the cutting edge of business</w:t>
      </w:r>
      <w:r w:rsidR="00A50AE7">
        <w:rPr>
          <w:rFonts w:ascii="Book Antiqua" w:hAnsi="Book Antiqua"/>
          <w:lang w:val="en-US"/>
        </w:rPr>
        <w:t xml:space="preserve"> </w:t>
      </w:r>
      <w:r w:rsidR="00A50AE7" w:rsidRPr="00A50AE7">
        <w:rPr>
          <w:rFonts w:ascii="Book Antiqua" w:hAnsi="Book Antiqua"/>
          <w:lang w:val="en-US"/>
        </w:rPr>
        <w:t>and policy agendas. The business must address its environmental impacts since climate</w:t>
      </w:r>
      <w:r w:rsidR="00A50AE7">
        <w:rPr>
          <w:rFonts w:ascii="Book Antiqua" w:hAnsi="Book Antiqua"/>
          <w:lang w:val="en-US"/>
        </w:rPr>
        <w:t xml:space="preserve"> </w:t>
      </w:r>
      <w:r w:rsidR="00A50AE7" w:rsidRPr="00A50AE7">
        <w:rPr>
          <w:rFonts w:ascii="Book Antiqua" w:hAnsi="Book Antiqua"/>
          <w:lang w:val="en-US"/>
        </w:rPr>
        <w:t>change</w:t>
      </w:r>
      <w:r w:rsidR="00A50AE7">
        <w:rPr>
          <w:rFonts w:ascii="Book Antiqua" w:hAnsi="Book Antiqua"/>
          <w:lang w:val="en-US"/>
        </w:rPr>
        <w:t xml:space="preserve"> and natural disasters</w:t>
      </w:r>
      <w:r w:rsidR="00A50AE7" w:rsidRPr="00A50AE7">
        <w:rPr>
          <w:rFonts w:ascii="Book Antiqua" w:hAnsi="Book Antiqua"/>
          <w:lang w:val="en-US"/>
        </w:rPr>
        <w:t xml:space="preserve"> </w:t>
      </w:r>
      <w:r w:rsidR="00A50AE7">
        <w:rPr>
          <w:rFonts w:ascii="Book Antiqua" w:hAnsi="Book Antiqua"/>
          <w:lang w:val="en-US"/>
        </w:rPr>
        <w:t>are</w:t>
      </w:r>
      <w:r w:rsidR="00A50AE7" w:rsidRPr="00A50AE7">
        <w:rPr>
          <w:rFonts w:ascii="Book Antiqua" w:hAnsi="Book Antiqua"/>
          <w:lang w:val="en-US"/>
        </w:rPr>
        <w:t xml:space="preserve"> consequence of human activity. Similarly, policy-makers have to put their effort</w:t>
      </w:r>
      <w:r w:rsidR="00A50AE7">
        <w:rPr>
          <w:rFonts w:ascii="Book Antiqua" w:hAnsi="Book Antiqua"/>
          <w:lang w:val="en-US"/>
        </w:rPr>
        <w:t xml:space="preserve"> </w:t>
      </w:r>
      <w:r w:rsidR="00A50AE7" w:rsidRPr="00A50AE7">
        <w:rPr>
          <w:rFonts w:ascii="Book Antiqua" w:hAnsi="Book Antiqua"/>
          <w:lang w:val="en-US"/>
        </w:rPr>
        <w:t>into actionable insights and innovative solutions which foreseen environmental scenarios</w:t>
      </w:r>
      <w:r w:rsidR="00A50AE7">
        <w:rPr>
          <w:rFonts w:ascii="Book Antiqua" w:hAnsi="Book Antiqua"/>
          <w:lang w:val="en-US"/>
        </w:rPr>
        <w:t xml:space="preserve"> </w:t>
      </w:r>
      <w:r w:rsidR="00A50AE7" w:rsidRPr="00A50AE7">
        <w:rPr>
          <w:rFonts w:ascii="Book Antiqua" w:hAnsi="Book Antiqua"/>
          <w:lang w:val="en-US"/>
        </w:rPr>
        <w:t xml:space="preserve">and empower change. Within this context, </w:t>
      </w:r>
      <w:r w:rsidR="009E1A4A">
        <w:rPr>
          <w:rFonts w:ascii="Book Antiqua" w:hAnsi="Book Antiqua"/>
          <w:lang w:val="en-US"/>
        </w:rPr>
        <w:t>the disclosure of environmental activities</w:t>
      </w:r>
      <w:r w:rsidR="00A50AE7" w:rsidRPr="00A50AE7">
        <w:rPr>
          <w:rFonts w:ascii="Book Antiqua" w:hAnsi="Book Antiqua"/>
          <w:lang w:val="en-US"/>
        </w:rPr>
        <w:t xml:space="preserve"> </w:t>
      </w:r>
      <w:r>
        <w:rPr>
          <w:rFonts w:ascii="Book Antiqua" w:hAnsi="Book Antiqua"/>
          <w:lang w:val="en-US"/>
        </w:rPr>
        <w:t>provides</w:t>
      </w:r>
      <w:r w:rsidR="00A50AE7" w:rsidRPr="00A50AE7">
        <w:rPr>
          <w:rFonts w:ascii="Book Antiqua" w:hAnsi="Book Antiqua"/>
          <w:lang w:val="en-US"/>
        </w:rPr>
        <w:t xml:space="preserve"> critical areas and success of action taken, as well as forecast future</w:t>
      </w:r>
      <w:r w:rsidR="00A50AE7">
        <w:rPr>
          <w:rFonts w:ascii="Book Antiqua" w:hAnsi="Book Antiqua"/>
          <w:lang w:val="en-US"/>
        </w:rPr>
        <w:t xml:space="preserve"> </w:t>
      </w:r>
      <w:r w:rsidR="00A50AE7" w:rsidRPr="00A50AE7">
        <w:rPr>
          <w:rFonts w:ascii="Book Antiqua" w:hAnsi="Book Antiqua"/>
          <w:lang w:val="en-US"/>
        </w:rPr>
        <w:t>trajectories (Liu et al., 2018;</w:t>
      </w:r>
      <w:r w:rsidR="006F62F1">
        <w:rPr>
          <w:rFonts w:ascii="Book Antiqua" w:hAnsi="Book Antiqua"/>
          <w:lang w:val="en-US"/>
        </w:rPr>
        <w:t xml:space="preserve"> </w:t>
      </w:r>
      <w:proofErr w:type="spellStart"/>
      <w:r w:rsidR="006F62F1">
        <w:rPr>
          <w:rFonts w:ascii="Book Antiqua" w:hAnsi="Book Antiqua"/>
          <w:lang w:val="en-US"/>
        </w:rPr>
        <w:t>Salehi</w:t>
      </w:r>
      <w:proofErr w:type="spellEnd"/>
      <w:r w:rsidR="006F62F1">
        <w:rPr>
          <w:rFonts w:ascii="Book Antiqua" w:hAnsi="Book Antiqua"/>
          <w:lang w:val="en-US"/>
        </w:rPr>
        <w:t xml:space="preserve"> et al. 2018;</w:t>
      </w:r>
      <w:r w:rsidR="00A50AE7" w:rsidRPr="00A50AE7">
        <w:rPr>
          <w:rFonts w:ascii="Book Antiqua" w:hAnsi="Book Antiqua"/>
          <w:lang w:val="en-US"/>
        </w:rPr>
        <w:t xml:space="preserve"> </w:t>
      </w:r>
      <w:proofErr w:type="spellStart"/>
      <w:r w:rsidR="006F62F1" w:rsidRPr="001C2082">
        <w:rPr>
          <w:rFonts w:ascii="Book Antiqua" w:hAnsi="Book Antiqua"/>
          <w:lang w:val="en-US"/>
        </w:rPr>
        <w:t>Chatzoglou</w:t>
      </w:r>
      <w:proofErr w:type="spellEnd"/>
      <w:r w:rsidR="006F62F1">
        <w:rPr>
          <w:rFonts w:ascii="Book Antiqua" w:hAnsi="Book Antiqua"/>
          <w:lang w:val="en-US"/>
        </w:rPr>
        <w:t xml:space="preserve"> et al., 2017; </w:t>
      </w:r>
      <w:proofErr w:type="spellStart"/>
      <w:r w:rsidR="00A50AE7" w:rsidRPr="00A50AE7">
        <w:rPr>
          <w:rFonts w:ascii="Book Antiqua" w:hAnsi="Book Antiqua"/>
          <w:lang w:val="en-US"/>
        </w:rPr>
        <w:t>Vardon</w:t>
      </w:r>
      <w:proofErr w:type="spellEnd"/>
      <w:r w:rsidR="00A50AE7" w:rsidRPr="00A50AE7">
        <w:rPr>
          <w:rFonts w:ascii="Book Antiqua" w:hAnsi="Book Antiqua"/>
          <w:lang w:val="en-US"/>
        </w:rPr>
        <w:t xml:space="preserve"> et al., 2016). </w:t>
      </w:r>
    </w:p>
    <w:p w14:paraId="4723B0C2" w14:textId="3583A8B8" w:rsidR="00A50AE7" w:rsidRPr="003971F1" w:rsidRDefault="00A50AE7" w:rsidP="00A50AE7">
      <w:pPr>
        <w:spacing w:after="120"/>
        <w:jc w:val="both"/>
        <w:rPr>
          <w:rFonts w:ascii="Book Antiqua" w:hAnsi="Book Antiqua"/>
          <w:lang w:val="en-US"/>
        </w:rPr>
      </w:pPr>
      <w:r w:rsidRPr="003971F1">
        <w:rPr>
          <w:rFonts w:ascii="Book Antiqua" w:hAnsi="Book Antiqua"/>
          <w:lang w:val="en-US"/>
        </w:rPr>
        <w:t>A majority of the existing research on environmental disclosure and corporate environmental management has been mainly conceptualized under the theoretical lens of legitimacy and impression management. Environmental disclosure has been viewed as a tool to gain, maintain, and repair legitimacy to influence societal perception potentially (O’ Donovan, 2002). It has also been addressed to examine the different facets of communication between companies and their stakeholders (</w:t>
      </w:r>
      <w:proofErr w:type="spellStart"/>
      <w:r w:rsidRPr="003971F1">
        <w:rPr>
          <w:rFonts w:ascii="Book Antiqua" w:hAnsi="Book Antiqua"/>
          <w:lang w:val="en-US"/>
        </w:rPr>
        <w:t>Rodrigue</w:t>
      </w:r>
      <w:proofErr w:type="spellEnd"/>
      <w:r w:rsidRPr="003971F1">
        <w:rPr>
          <w:rFonts w:ascii="Book Antiqua" w:hAnsi="Book Antiqua"/>
          <w:lang w:val="en-US"/>
        </w:rPr>
        <w:t xml:space="preserve">, 2014) when considering the volume and tone of environmental disclosures </w:t>
      </w:r>
      <w:r w:rsidRPr="003971F1">
        <w:rPr>
          <w:rFonts w:ascii="Book Antiqua" w:hAnsi="Book Antiqua"/>
          <w:lang w:val="en-US"/>
        </w:rPr>
        <w:fldChar w:fldCharType="begin" w:fldLock="1"/>
      </w:r>
      <w:r w:rsidRPr="003971F1">
        <w:rPr>
          <w:rFonts w:ascii="Book Antiqua" w:hAnsi="Book Antiqua"/>
          <w:lang w:val="en-US"/>
        </w:rPr>
        <w:instrText>ADDIN CSL_CITATION {"citationItems":[{"id":"ITEM-1","itemData":{"DOI":"10.1080/0969160X.2015.1007465","ISSN":"21562245","abstract":"AbstractIn this paper, we seek to provide a description of disclosures arising from various stakeholder groups in the social sphere. As such, we extend Rodrigue's article “Contrasting Realities: Corporate Environmental Disclosure and Stakeholder-Released Information” (2014. Accounting, Auditing and Accountability Journal 27 [1]: 119–149) by conducting a case study to examine and compare corporate and stakeholder communications made over a three-year period. We specifically focus on the volume and tone of environmental disclosures. We explore the topics emphasised by each party in their respective disclosures and analyse their tone by categorising the information as positive, negative or neutral. Through a detailed quantitative analysis, we highlight the differences in how various actors portray the organisation and its activities. We argue that this is of relevance since neither corporate nor stakeholder disclosures are merely passive reflections of reality, but rather, they play a part in constructing, f...","author":[{"dropping-particle":"","family":"Rodrigue","given":"Michelle","non-dropping-particle":"","parse-names":false,"suffix":""},{"dropping-particle":"","family":"Cho","given":"Charles H.","non-dropping-particle":"","parse-names":false,"suffix":""},{"dropping-particle":"","family":"Laine","given":"Matias","non-dropping-particle":"","parse-names":false,"suffix":""}],"container-title":"Social and Environmental Accountability Journal","id":"ITEM-1","issue":"1","issued":{"date-parts":[["2015"]]},"page":"1-16","publisher":"Taylor &amp; Francis","title":"Volume and Tone of Environmental Disclosure: A Comparative Analysis of a Corporation and its Stakeholders","type":"article-journal","volume":"35"},"uris":["http://www.mendeley.com/documents/?uuid=62d01fe7-18ef-481d-97ab-1d3a52cbb8da"]}],"mendeley":{"formattedCitation":"(Rodrigue, Cho and Laine, 2015)","plainTextFormattedCitation":"(Rodrigue, Cho and Laine, 2015)","previouslyFormattedCitation":"(Rodrigue, Cho and Laine, 2015)"},"properties":{"noteIndex":0},"schema":"https://github.com/citation-style-language/schema/raw/master/csl-citation.json"}</w:instrText>
      </w:r>
      <w:r w:rsidRPr="003971F1">
        <w:rPr>
          <w:rFonts w:ascii="Book Antiqua" w:hAnsi="Book Antiqua"/>
          <w:lang w:val="en-US"/>
        </w:rPr>
        <w:fldChar w:fldCharType="separate"/>
      </w:r>
      <w:r w:rsidRPr="003971F1">
        <w:rPr>
          <w:rFonts w:ascii="Book Antiqua" w:hAnsi="Book Antiqua"/>
          <w:noProof/>
          <w:lang w:val="en-US"/>
        </w:rPr>
        <w:t>(Rodrigue, Cho and Laine, 2015)</w:t>
      </w:r>
      <w:r w:rsidRPr="003971F1">
        <w:rPr>
          <w:rFonts w:ascii="Book Antiqua" w:hAnsi="Book Antiqua"/>
          <w:lang w:val="en-US"/>
        </w:rPr>
        <w:fldChar w:fldCharType="end"/>
      </w:r>
      <w:r w:rsidRPr="003971F1">
        <w:rPr>
          <w:rFonts w:ascii="Book Antiqua" w:hAnsi="Book Antiqua"/>
          <w:lang w:val="en-US"/>
        </w:rPr>
        <w:t>. Similarly, corporate environmental management has advanced the legitimacy of the stakeholder approach (</w:t>
      </w:r>
      <w:proofErr w:type="spellStart"/>
      <w:r w:rsidRPr="003971F1">
        <w:rPr>
          <w:rFonts w:ascii="Book Antiqua" w:hAnsi="Book Antiqua"/>
          <w:lang w:val="en-US"/>
        </w:rPr>
        <w:t>Onkila</w:t>
      </w:r>
      <w:proofErr w:type="spellEnd"/>
      <w:r w:rsidRPr="003971F1">
        <w:rPr>
          <w:rFonts w:ascii="Book Antiqua" w:hAnsi="Book Antiqua"/>
          <w:lang w:val="en-US"/>
        </w:rPr>
        <w:t>, 2009), considering the influences of stakeholders as catalysts of corporate environmental responses (</w:t>
      </w:r>
      <w:proofErr w:type="spellStart"/>
      <w:r w:rsidRPr="003971F1">
        <w:rPr>
          <w:rFonts w:ascii="Book Antiqua" w:hAnsi="Book Antiqua"/>
          <w:lang w:val="en-US"/>
        </w:rPr>
        <w:t>Henriques</w:t>
      </w:r>
      <w:proofErr w:type="spellEnd"/>
      <w:r w:rsidRPr="003971F1">
        <w:rPr>
          <w:rFonts w:ascii="Book Antiqua" w:hAnsi="Book Antiqua"/>
          <w:lang w:val="en-US"/>
        </w:rPr>
        <w:t xml:space="preserve"> and </w:t>
      </w:r>
      <w:proofErr w:type="spellStart"/>
      <w:r w:rsidRPr="003971F1">
        <w:rPr>
          <w:rFonts w:ascii="Book Antiqua" w:hAnsi="Book Antiqua"/>
          <w:lang w:val="en-US"/>
        </w:rPr>
        <w:t>Sadorsky</w:t>
      </w:r>
      <w:proofErr w:type="spellEnd"/>
      <w:r w:rsidRPr="003971F1">
        <w:rPr>
          <w:rFonts w:ascii="Book Antiqua" w:hAnsi="Book Antiqua"/>
          <w:lang w:val="en-US"/>
        </w:rPr>
        <w:t xml:space="preserve">, 1999; Madsen and </w:t>
      </w:r>
      <w:proofErr w:type="spellStart"/>
      <w:r w:rsidRPr="003971F1">
        <w:rPr>
          <w:rFonts w:ascii="Book Antiqua" w:hAnsi="Book Antiqua"/>
          <w:lang w:val="en-US"/>
        </w:rPr>
        <w:t>Ulhoi</w:t>
      </w:r>
      <w:proofErr w:type="spellEnd"/>
      <w:r w:rsidRPr="003971F1">
        <w:rPr>
          <w:rFonts w:ascii="Book Antiqua" w:hAnsi="Book Antiqua"/>
          <w:lang w:val="en-US"/>
        </w:rPr>
        <w:t xml:space="preserve">, 2001). Conversely, the literature has remained scattered in its understanding of business engagement with the natural environment in the form of communication </w:t>
      </w:r>
      <w:r w:rsidRPr="003971F1">
        <w:rPr>
          <w:rFonts w:ascii="Book Antiqua" w:hAnsi="Book Antiqua"/>
          <w:lang w:val="en-US"/>
        </w:rPr>
        <w:fldChar w:fldCharType="begin" w:fldLock="1"/>
      </w:r>
      <w:r w:rsidRPr="003971F1">
        <w:rPr>
          <w:rFonts w:ascii="Book Antiqua" w:hAnsi="Book Antiqua"/>
          <w:lang w:val="en-US"/>
        </w:rPr>
        <w:instrText>ADDIN CSL_CITATION {"citationItems":[{"id":"ITEM-1","itemData":{"DOI":"10.1007/s10551-016-3136-4","ISSN":"1573-0697","author":[{"dropping-particle":"","family":"Morrison","given":"Leanne","non-dropping-particle":"","parse-names":false,"suffix":""},{"dropping-particle":"","family":"Wilmshurst","given":"Trevor","non-dropping-particle":"","parse-names":false,"suffix":""},{"dropping-particle":"","family":"Shimeld","given":"Sonia","non-dropping-particle":"","parse-names":false,"suffix":""}],"container-title":"Journal of Business Ethics","id":"ITEM-1","issue":"4","issued":{"date-parts":[["2018"]]},"page":"903-918","publisher":"Springer Netherlands","title":"Environmental Reporting Through an Ethical Looking Glass","type":"article-journal","volume":"150"},"uris":["http://www.mendeley.com/documents/?uuid=df15680f-fc6f-4c75-be14-e3a096e3c534"]},{"id":"ITEM-2","itemData":{"DOI":"10.1007/s10551-008-9885-y","author":[{"dropping-particle":"","family":"Onkila","given":"Tiina Johanna","non-dropping-particle":"","parse-names":false,"suffix":""}],"id":"ITEM-2","issued":{"date-parts":[["2009"]]},"page":"285-298","title":"Corporate Argumentation for Acceptability : Reflections of Environmental Values and Stakeholder Relations in Corporate Environmental","type":"article-journal"},"uris":["http://www.mendeley.com/documents/?uuid=288b5449-339b-4dbd-acea-a61210002e02"]}],"mendeley":{"formattedCitation":"(Onkila, 2009; Morrison, Wilmshurst and Shimeld, 2018)","plainTextFormattedCitation":"(Onkila, 2009; Morrison, Wilmshurst and Shimeld, 2018)","previouslyFormattedCitation":"(Onkila, 2009; Morrison, Wilmshurst and Shimeld, 2018)"},"properties":{"noteIndex":0},"schema":"https://github.com/citation-style-language/schema/raw/master/csl-citation.json"}</w:instrText>
      </w:r>
      <w:r w:rsidRPr="003971F1">
        <w:rPr>
          <w:rFonts w:ascii="Book Antiqua" w:hAnsi="Book Antiqua"/>
          <w:lang w:val="en-US"/>
        </w:rPr>
        <w:fldChar w:fldCharType="separate"/>
      </w:r>
      <w:r w:rsidRPr="003971F1">
        <w:rPr>
          <w:rFonts w:ascii="Book Antiqua" w:hAnsi="Book Antiqua"/>
          <w:noProof/>
          <w:lang w:val="en-US"/>
        </w:rPr>
        <w:t>(Onkila, 2009; Morrison, Wilmshurst and Shimeld, 2018)</w:t>
      </w:r>
      <w:r w:rsidRPr="003971F1">
        <w:rPr>
          <w:rFonts w:ascii="Book Antiqua" w:hAnsi="Book Antiqua"/>
          <w:lang w:val="en-US"/>
        </w:rPr>
        <w:fldChar w:fldCharType="end"/>
      </w:r>
      <w:r w:rsidRPr="003971F1">
        <w:rPr>
          <w:rFonts w:ascii="Book Antiqua" w:hAnsi="Book Antiqua"/>
          <w:lang w:val="en-US"/>
        </w:rPr>
        <w:t xml:space="preserve">. </w:t>
      </w:r>
      <w:proofErr w:type="spellStart"/>
      <w:r w:rsidRPr="003971F1">
        <w:rPr>
          <w:rFonts w:ascii="Book Antiqua" w:hAnsi="Book Antiqua"/>
          <w:lang w:val="en-US"/>
        </w:rPr>
        <w:t>Onkila</w:t>
      </w:r>
      <w:proofErr w:type="spellEnd"/>
      <w:r w:rsidRPr="003971F1">
        <w:rPr>
          <w:rFonts w:ascii="Book Antiqua" w:hAnsi="Book Antiqua"/>
          <w:lang w:val="en-US"/>
        </w:rPr>
        <w:t xml:space="preserve"> (2009) addresses the relationship between human action and environmental values produced in the texts of environmental reports to determine the human action–environmental protection relationship. Meanwhile, Morrison </w:t>
      </w:r>
      <w:r w:rsidRPr="003971F1">
        <w:rPr>
          <w:rFonts w:ascii="Book Antiqua" w:hAnsi="Book Antiqua"/>
          <w:i/>
          <w:lang w:val="en-US"/>
        </w:rPr>
        <w:t>et al.</w:t>
      </w:r>
      <w:r w:rsidRPr="003971F1">
        <w:rPr>
          <w:rFonts w:ascii="Book Antiqua" w:hAnsi="Book Antiqua"/>
          <w:lang w:val="en-US"/>
        </w:rPr>
        <w:t xml:space="preserve"> (2018) explore how stakeholders understand environmental issues and how organizations communicate that information. </w:t>
      </w:r>
    </w:p>
    <w:p w14:paraId="62112B8C" w14:textId="77777777" w:rsidR="00A50AE7" w:rsidRDefault="00A50AE7" w:rsidP="00A50AE7">
      <w:pPr>
        <w:spacing w:after="120"/>
        <w:jc w:val="both"/>
        <w:rPr>
          <w:rFonts w:ascii="Book Antiqua" w:hAnsi="Book Antiqua"/>
          <w:lang w:val="en-US"/>
        </w:rPr>
      </w:pPr>
      <w:r w:rsidRPr="003971F1">
        <w:rPr>
          <w:rFonts w:ascii="Book Antiqua" w:hAnsi="Book Antiqua"/>
          <w:lang w:val="en-US"/>
        </w:rPr>
        <w:t xml:space="preserve">Drawing on these premises thus far, </w:t>
      </w:r>
      <w:r>
        <w:rPr>
          <w:rFonts w:ascii="Book Antiqua" w:hAnsi="Book Antiqua"/>
          <w:lang w:val="en-US"/>
        </w:rPr>
        <w:t>t</w:t>
      </w:r>
      <w:r w:rsidRPr="003971F1">
        <w:rPr>
          <w:rFonts w:ascii="Book Antiqua" w:hAnsi="Book Antiqua"/>
          <w:lang w:val="en-US"/>
        </w:rPr>
        <w:t xml:space="preserve">he aim of this study is to analyze the relationship between business and the natural environment in the companies’ written communication of sustainability reports. The research frames environmental activities and related engagement practices </w:t>
      </w:r>
      <w:r>
        <w:rPr>
          <w:rFonts w:ascii="Book Antiqua" w:hAnsi="Book Antiqua"/>
          <w:lang w:val="en-US"/>
        </w:rPr>
        <w:t xml:space="preserve">considering the most sustainable companies in Italy, according to the Global 100 ranking of the world’s most sustainable companies. </w:t>
      </w:r>
    </w:p>
    <w:p w14:paraId="02D729D0" w14:textId="7319337E" w:rsidR="00A50AE7" w:rsidRDefault="00A50AE7" w:rsidP="00F617C0">
      <w:pPr>
        <w:spacing w:after="120"/>
        <w:jc w:val="both"/>
        <w:rPr>
          <w:rFonts w:ascii="Book Antiqua" w:hAnsi="Book Antiqua"/>
          <w:lang w:val="en-US"/>
        </w:rPr>
      </w:pPr>
      <w:r>
        <w:rPr>
          <w:rFonts w:ascii="Book Antiqua" w:hAnsi="Book Antiqua"/>
          <w:lang w:val="en-US"/>
        </w:rPr>
        <w:t>T</w:t>
      </w:r>
      <w:r w:rsidRPr="003971F1">
        <w:rPr>
          <w:rFonts w:ascii="Book Antiqua" w:hAnsi="Book Antiqua"/>
          <w:lang w:val="en-US"/>
        </w:rPr>
        <w:t xml:space="preserve">he paper joins this strand of literature to investigate the rhetorical communication of business–stakeholder–nature relations. Contextualized within the Italian business settings, our research </w:t>
      </w:r>
      <w:r>
        <w:rPr>
          <w:rFonts w:ascii="Book Antiqua" w:hAnsi="Book Antiqua"/>
          <w:lang w:val="en-US"/>
        </w:rPr>
        <w:t xml:space="preserve">analyses the disclosure on environmental issues and the related </w:t>
      </w:r>
      <w:r w:rsidRPr="003971F1">
        <w:rPr>
          <w:rFonts w:ascii="Book Antiqua" w:hAnsi="Book Antiqua"/>
          <w:lang w:val="en-US"/>
        </w:rPr>
        <w:t xml:space="preserve">engagement with the natural environment. The </w:t>
      </w:r>
      <w:r w:rsidR="009E1A4A">
        <w:rPr>
          <w:rFonts w:ascii="Book Antiqua" w:hAnsi="Book Antiqua"/>
          <w:lang w:val="en-US"/>
        </w:rPr>
        <w:t>explorative</w:t>
      </w:r>
      <w:r w:rsidRPr="003971F1">
        <w:rPr>
          <w:rFonts w:ascii="Book Antiqua" w:hAnsi="Book Antiqua"/>
          <w:lang w:val="en-US"/>
        </w:rPr>
        <w:t xml:space="preserve"> analysis has been conducted on </w:t>
      </w:r>
      <w:r>
        <w:rPr>
          <w:rFonts w:ascii="Book Antiqua" w:hAnsi="Book Antiqua"/>
          <w:lang w:val="en-US"/>
        </w:rPr>
        <w:t xml:space="preserve">the two </w:t>
      </w:r>
      <w:r w:rsidRPr="003971F1">
        <w:rPr>
          <w:rFonts w:ascii="Book Antiqua" w:hAnsi="Book Antiqua"/>
          <w:lang w:val="en-US"/>
        </w:rPr>
        <w:t xml:space="preserve">listed companies that are </w:t>
      </w:r>
      <w:r>
        <w:rPr>
          <w:rFonts w:ascii="Book Antiqua" w:hAnsi="Book Antiqua"/>
          <w:lang w:val="en-US"/>
        </w:rPr>
        <w:t>selected as the most sustainable companies</w:t>
      </w:r>
      <w:r w:rsidRPr="003971F1">
        <w:rPr>
          <w:rFonts w:ascii="Book Antiqua" w:hAnsi="Book Antiqua"/>
          <w:lang w:val="en-US"/>
        </w:rPr>
        <w:t xml:space="preserve"> in the 2019 Global 100 Most Sustainable Corporations World index</w:t>
      </w:r>
      <w:r w:rsidRPr="003971F1">
        <w:rPr>
          <w:rFonts w:ascii="Book Antiqua" w:hAnsi="Book Antiqua"/>
          <w:lang w:val="en-GB"/>
        </w:rPr>
        <w:t>.</w:t>
      </w:r>
      <w:r w:rsidRPr="003971F1">
        <w:rPr>
          <w:rFonts w:ascii="Book Antiqua" w:hAnsi="Book Antiqua"/>
          <w:lang w:val="en-US"/>
        </w:rPr>
        <w:t xml:space="preserve"> The study develops a qualitative content analysis over the sustainability reports and official website information</w:t>
      </w:r>
      <w:r w:rsidR="009E1A4A">
        <w:rPr>
          <w:rFonts w:ascii="Book Antiqua" w:hAnsi="Book Antiqua"/>
          <w:lang w:val="en-US"/>
        </w:rPr>
        <w:t xml:space="preserve">, and it analyses </w:t>
      </w:r>
      <w:r w:rsidR="009E1A4A" w:rsidRPr="003971F1">
        <w:rPr>
          <w:rFonts w:ascii="Book Antiqua" w:hAnsi="Book Antiqua"/>
          <w:lang w:val="en-US"/>
        </w:rPr>
        <w:t xml:space="preserve">structural features and underlying meanings that characterize the relation between companies and the natural environment. </w:t>
      </w:r>
      <w:r w:rsidR="00BB4493" w:rsidRPr="003971F1">
        <w:rPr>
          <w:rFonts w:ascii="Book Antiqua" w:hAnsi="Book Antiqua"/>
          <w:lang w:val="en-US"/>
        </w:rPr>
        <w:t xml:space="preserve">We purposefully selected as investigation the rhetoric and discourse in </w:t>
      </w:r>
      <w:r w:rsidR="00BB4493" w:rsidRPr="003971F1">
        <w:rPr>
          <w:rFonts w:ascii="Book Antiqua" w:hAnsi="Book Antiqua"/>
          <w:lang w:val="en-US"/>
        </w:rPr>
        <w:lastRenderedPageBreak/>
        <w:t>the reports and official websites, as they show how companies gain and maintain legitimacy (</w:t>
      </w:r>
      <w:proofErr w:type="spellStart"/>
      <w:r w:rsidR="00BB4493" w:rsidRPr="003971F1">
        <w:rPr>
          <w:rFonts w:ascii="Book Antiqua" w:hAnsi="Book Antiqua"/>
          <w:lang w:val="en-US"/>
        </w:rPr>
        <w:t>Patriotta</w:t>
      </w:r>
      <w:proofErr w:type="spellEnd"/>
      <w:r w:rsidR="00BB4493" w:rsidRPr="003971F1">
        <w:rPr>
          <w:rFonts w:ascii="Book Antiqua" w:hAnsi="Book Antiqua"/>
          <w:lang w:val="en-US"/>
        </w:rPr>
        <w:t xml:space="preserve"> et al., 2011).</w:t>
      </w:r>
    </w:p>
    <w:p w14:paraId="54577753" w14:textId="6DA16A01" w:rsidR="00F617C0" w:rsidRPr="003971F1" w:rsidRDefault="00F617C0" w:rsidP="00F617C0">
      <w:pPr>
        <w:spacing w:after="120"/>
        <w:jc w:val="both"/>
        <w:rPr>
          <w:rFonts w:ascii="Book Antiqua" w:hAnsi="Book Antiqua"/>
          <w:lang w:val="en-US"/>
        </w:rPr>
      </w:pPr>
      <w:r w:rsidRPr="003971F1">
        <w:rPr>
          <w:rFonts w:ascii="Book Antiqua" w:hAnsi="Book Antiqua"/>
          <w:lang w:val="en-US"/>
        </w:rPr>
        <w:t xml:space="preserve">Our research contributes to the </w:t>
      </w:r>
      <w:r w:rsidR="00BB4493">
        <w:rPr>
          <w:rFonts w:ascii="Book Antiqua" w:hAnsi="Book Antiqua"/>
          <w:lang w:val="en-US"/>
        </w:rPr>
        <w:t>current debate on environmental disclosure</w:t>
      </w:r>
      <w:r w:rsidRPr="003971F1">
        <w:rPr>
          <w:rFonts w:ascii="Book Antiqua" w:hAnsi="Book Antiqua"/>
          <w:lang w:val="en-US"/>
        </w:rPr>
        <w:t xml:space="preserve"> in </w:t>
      </w:r>
      <w:r w:rsidR="00703AA0">
        <w:rPr>
          <w:rFonts w:ascii="Book Antiqua" w:hAnsi="Book Antiqua"/>
          <w:lang w:val="en-US"/>
        </w:rPr>
        <w:t>several</w:t>
      </w:r>
      <w:r w:rsidR="00703AA0" w:rsidRPr="003971F1">
        <w:rPr>
          <w:rFonts w:ascii="Book Antiqua" w:hAnsi="Book Antiqua"/>
          <w:lang w:val="en-US"/>
        </w:rPr>
        <w:t xml:space="preserve"> </w:t>
      </w:r>
      <w:r w:rsidRPr="003971F1">
        <w:rPr>
          <w:rFonts w:ascii="Book Antiqua" w:hAnsi="Book Antiqua"/>
          <w:lang w:val="en-US"/>
        </w:rPr>
        <w:t xml:space="preserve">ways. First, it frames the language of business–stakeholder–nature engagement activities. Second, it identifies which relationship companies shape </w:t>
      </w:r>
      <w:r w:rsidR="001665E1">
        <w:rPr>
          <w:rFonts w:ascii="Book Antiqua" w:hAnsi="Book Antiqua"/>
          <w:lang w:val="en-US"/>
        </w:rPr>
        <w:t>in favor of</w:t>
      </w:r>
      <w:r w:rsidRPr="003971F1">
        <w:rPr>
          <w:rFonts w:ascii="Book Antiqua" w:hAnsi="Book Antiqua"/>
          <w:lang w:val="en-US"/>
        </w:rPr>
        <w:t xml:space="preserve"> the natural environment.</w:t>
      </w:r>
      <w:r w:rsidR="00BB4493" w:rsidRPr="00BB4493">
        <w:rPr>
          <w:rFonts w:ascii="Book Antiqua" w:hAnsi="Book Antiqua"/>
          <w:lang w:val="en-US"/>
        </w:rPr>
        <w:t xml:space="preserve"> </w:t>
      </w:r>
      <w:r w:rsidR="00703AA0">
        <w:rPr>
          <w:rFonts w:ascii="Book Antiqua" w:hAnsi="Book Antiqua"/>
          <w:lang w:val="en-US"/>
        </w:rPr>
        <w:t>Third</w:t>
      </w:r>
      <w:r w:rsidR="00BB4493" w:rsidRPr="00A50AE7">
        <w:rPr>
          <w:rFonts w:ascii="Book Antiqua" w:hAnsi="Book Antiqua"/>
          <w:lang w:val="en-US"/>
        </w:rPr>
        <w:t>, it thoroughly matches</w:t>
      </w:r>
      <w:r w:rsidR="00BB4493">
        <w:rPr>
          <w:rFonts w:ascii="Book Antiqua" w:hAnsi="Book Antiqua"/>
          <w:lang w:val="en-US"/>
        </w:rPr>
        <w:t xml:space="preserve"> </w:t>
      </w:r>
      <w:r w:rsidR="00BB4493" w:rsidRPr="00A50AE7">
        <w:rPr>
          <w:rFonts w:ascii="Book Antiqua" w:hAnsi="Book Antiqua"/>
          <w:lang w:val="en-US"/>
        </w:rPr>
        <w:t>business practices together with policy implications which are urgently needed to solve the</w:t>
      </w:r>
      <w:r w:rsidR="00BB4493">
        <w:rPr>
          <w:rFonts w:ascii="Book Antiqua" w:hAnsi="Book Antiqua"/>
          <w:lang w:val="en-US"/>
        </w:rPr>
        <w:t xml:space="preserve"> </w:t>
      </w:r>
      <w:r w:rsidR="00BB4493" w:rsidRPr="00A50AE7">
        <w:rPr>
          <w:rFonts w:ascii="Book Antiqua" w:hAnsi="Book Antiqua"/>
          <w:lang w:val="en-US"/>
        </w:rPr>
        <w:t xml:space="preserve">current </w:t>
      </w:r>
      <w:r w:rsidR="00BB4493">
        <w:rPr>
          <w:rFonts w:ascii="Book Antiqua" w:hAnsi="Book Antiqua"/>
          <w:lang w:val="en-US"/>
        </w:rPr>
        <w:t xml:space="preserve">environmental and </w:t>
      </w:r>
      <w:r w:rsidR="00BB4493" w:rsidRPr="00A50AE7">
        <w:rPr>
          <w:rFonts w:ascii="Book Antiqua" w:hAnsi="Book Antiqua"/>
          <w:lang w:val="en-US"/>
        </w:rPr>
        <w:t xml:space="preserve">climate crisis. </w:t>
      </w:r>
      <w:r w:rsidR="00703AA0">
        <w:rPr>
          <w:rFonts w:ascii="Book Antiqua" w:hAnsi="Book Antiqua"/>
          <w:lang w:val="en-US"/>
        </w:rPr>
        <w:t>Ultimately</w:t>
      </w:r>
      <w:r w:rsidR="00BB4493" w:rsidRPr="00A50AE7">
        <w:rPr>
          <w:rFonts w:ascii="Book Antiqua" w:hAnsi="Book Antiqua"/>
          <w:lang w:val="en-US"/>
        </w:rPr>
        <w:t>, it has been at the forefront of climate-related researches</w:t>
      </w:r>
      <w:r w:rsidR="00BB4493">
        <w:rPr>
          <w:rFonts w:ascii="Book Antiqua" w:hAnsi="Book Antiqua"/>
          <w:lang w:val="en-US"/>
        </w:rPr>
        <w:t xml:space="preserve"> </w:t>
      </w:r>
      <w:r w:rsidR="00BB4493" w:rsidRPr="00A50AE7">
        <w:rPr>
          <w:rFonts w:ascii="Book Antiqua" w:hAnsi="Book Antiqua"/>
          <w:lang w:val="en-US"/>
        </w:rPr>
        <w:t>under several disciplines (</w:t>
      </w:r>
      <w:proofErr w:type="spellStart"/>
      <w:r w:rsidR="00BB4493" w:rsidRPr="00A50AE7">
        <w:rPr>
          <w:rFonts w:ascii="Book Antiqua" w:hAnsi="Book Antiqua"/>
          <w:lang w:val="en-US"/>
        </w:rPr>
        <w:t>Nicoletti</w:t>
      </w:r>
      <w:proofErr w:type="spellEnd"/>
      <w:r w:rsidR="00BB4493" w:rsidRPr="00A50AE7">
        <w:rPr>
          <w:rFonts w:ascii="Book Antiqua" w:hAnsi="Book Antiqua"/>
          <w:lang w:val="en-US"/>
        </w:rPr>
        <w:t xml:space="preserve"> et al., 2018; </w:t>
      </w:r>
      <w:proofErr w:type="spellStart"/>
      <w:r w:rsidR="00BB4493" w:rsidRPr="00A50AE7">
        <w:rPr>
          <w:rFonts w:ascii="Book Antiqua" w:hAnsi="Book Antiqua"/>
          <w:lang w:val="en-US"/>
        </w:rPr>
        <w:t>Rodiguez</w:t>
      </w:r>
      <w:proofErr w:type="spellEnd"/>
      <w:r w:rsidR="00BB4493" w:rsidRPr="00A50AE7">
        <w:rPr>
          <w:rFonts w:ascii="Book Antiqua" w:hAnsi="Book Antiqua"/>
          <w:lang w:val="en-US"/>
        </w:rPr>
        <w:t xml:space="preserve"> et al., 2020).</w:t>
      </w:r>
    </w:p>
    <w:p w14:paraId="3A8996C0" w14:textId="07443E53" w:rsidR="00F617C0" w:rsidRPr="003971F1" w:rsidRDefault="00F617C0" w:rsidP="00F617C0">
      <w:pPr>
        <w:spacing w:after="120"/>
        <w:jc w:val="both"/>
        <w:rPr>
          <w:rFonts w:ascii="Book Antiqua" w:hAnsi="Book Antiqua"/>
          <w:lang w:val="en-US"/>
        </w:rPr>
      </w:pPr>
      <w:r w:rsidRPr="003971F1">
        <w:rPr>
          <w:rFonts w:ascii="Book Antiqua" w:hAnsi="Book Antiqua"/>
          <w:lang w:val="en-US"/>
        </w:rPr>
        <w:t>The study is organized as follows. Section 2 reviews the conceptualization of the natural environment within the stakeholder network and the urgent calls currently demanding environmentally responsible actions. Then, the theoretical underpinnings and practical dynamics of stakeholder engagement mechanisms and the relationship between companies and the natural environment are considered. Under these theoretical constructs, the conceptual framework for the analysis is teased out. Section</w:t>
      </w:r>
      <w:r w:rsidR="00F76790" w:rsidRPr="003971F1">
        <w:rPr>
          <w:rFonts w:ascii="Book Antiqua" w:hAnsi="Book Antiqua"/>
          <w:lang w:val="en-US"/>
        </w:rPr>
        <w:t xml:space="preserve"> </w:t>
      </w:r>
      <w:r w:rsidRPr="003971F1">
        <w:rPr>
          <w:rFonts w:ascii="Book Antiqua" w:hAnsi="Book Antiqua"/>
          <w:lang w:val="en-US"/>
        </w:rPr>
        <w:t xml:space="preserve">3 </w:t>
      </w:r>
      <w:r w:rsidR="00565F74">
        <w:rPr>
          <w:rFonts w:ascii="Book Antiqua" w:hAnsi="Book Antiqua"/>
          <w:lang w:val="en-US"/>
        </w:rPr>
        <w:t xml:space="preserve">provides the research methodology, </w:t>
      </w:r>
      <w:r w:rsidRPr="003971F1">
        <w:rPr>
          <w:rFonts w:ascii="Book Antiqua" w:hAnsi="Book Antiqua"/>
          <w:lang w:val="en-US"/>
        </w:rPr>
        <w:t>Section</w:t>
      </w:r>
      <w:r w:rsidR="00F76790" w:rsidRPr="003971F1">
        <w:rPr>
          <w:rFonts w:ascii="Book Antiqua" w:hAnsi="Book Antiqua"/>
          <w:lang w:val="en-US"/>
        </w:rPr>
        <w:t xml:space="preserve"> </w:t>
      </w:r>
      <w:r w:rsidRPr="003971F1">
        <w:rPr>
          <w:rFonts w:ascii="Book Antiqua" w:hAnsi="Book Antiqua"/>
          <w:lang w:val="en-US"/>
        </w:rPr>
        <w:t>4 describes the results, and finally, Section 5 identifies the main limitation of this study and concludes with theoretical and practical implications.</w:t>
      </w:r>
    </w:p>
    <w:p w14:paraId="4B69174B" w14:textId="1E4ED82D" w:rsidR="00F617C0" w:rsidRPr="003971F1" w:rsidRDefault="00F617C0" w:rsidP="006E21A6">
      <w:pPr>
        <w:pStyle w:val="Titolo2"/>
      </w:pPr>
      <w:r w:rsidRPr="003971F1">
        <w:t>Business engagement with the natural environment</w:t>
      </w:r>
    </w:p>
    <w:p w14:paraId="7DC3849D" w14:textId="79ED3798" w:rsidR="00F617C0" w:rsidRPr="002B57BB" w:rsidRDefault="00F617C0" w:rsidP="006E21A6">
      <w:pPr>
        <w:pStyle w:val="Titolo2"/>
        <w:numPr>
          <w:ilvl w:val="1"/>
          <w:numId w:val="11"/>
        </w:numPr>
      </w:pPr>
      <w:r w:rsidRPr="002B57BB">
        <w:t>Natural environment within the stakeholder network</w:t>
      </w:r>
    </w:p>
    <w:p w14:paraId="50C37684" w14:textId="77777777" w:rsidR="00F617C0" w:rsidRPr="003971F1" w:rsidRDefault="00F617C0" w:rsidP="002D2DD9">
      <w:pPr>
        <w:spacing w:after="120"/>
        <w:jc w:val="both"/>
        <w:rPr>
          <w:rFonts w:ascii="Book Antiqua" w:hAnsi="Book Antiqua"/>
          <w:lang w:val="en-US"/>
        </w:rPr>
      </w:pPr>
      <w:r w:rsidRPr="003971F1">
        <w:rPr>
          <w:rFonts w:ascii="Book Antiqua" w:hAnsi="Book Antiqua"/>
          <w:lang w:val="en-US"/>
        </w:rPr>
        <w:t xml:space="preserve">The natural environment surrounds the stakeholder network and all the economic activities that take place within it </w:t>
      </w:r>
      <w:r w:rsidRPr="003971F1">
        <w:rPr>
          <w:rFonts w:ascii="Book Antiqua" w:hAnsi="Book Antiqua"/>
          <w:lang w:val="en-US"/>
        </w:rPr>
        <w:fldChar w:fldCharType="begin" w:fldLock="1"/>
      </w:r>
      <w:r w:rsidRPr="003971F1">
        <w:rPr>
          <w:rFonts w:ascii="Book Antiqua" w:hAnsi="Book Antiqua"/>
          <w:lang w:val="en-US"/>
        </w:rPr>
        <w:instrText>ADDIN CSL_CITATION {"citationItems":[{"id":"ITEM-1","itemData":{"DOI":"10.1007/s10551-011-0936-4","author":[{"dropping-particle":"","family":"Laine","given":"Matias","non-dropping-particle":"","parse-names":false,"suffix":""}],"container-title":"Journal of Business Ethics","id":"ITEM-1","issue":"July","issued":{"date-parts":[["2010"]]},"page":"73-78","title":"The Nature of Nature as a Stakeholder","type":"article-journal"},"uris":["http://www.mendeley.com/documents/?uuid=a13bfaae-5a45-4ceb-b00c-f1bfbcd25e18"]}],"mendeley":{"formattedCitation":"(Laine, 2010)","plainTextFormattedCitation":"(Laine, 2010)","previouslyFormattedCitation":"(Laine, 2010)"},"properties":{"noteIndex":0},"schema":"https://github.com/citation-style-language/schema/raw/master/csl-citation.json"}</w:instrText>
      </w:r>
      <w:r w:rsidRPr="003971F1">
        <w:rPr>
          <w:rFonts w:ascii="Book Antiqua" w:hAnsi="Book Antiqua"/>
          <w:lang w:val="en-US"/>
        </w:rPr>
        <w:fldChar w:fldCharType="separate"/>
      </w:r>
      <w:r w:rsidRPr="003971F1">
        <w:rPr>
          <w:rFonts w:ascii="Book Antiqua" w:hAnsi="Book Antiqua"/>
          <w:noProof/>
          <w:lang w:val="en-US"/>
        </w:rPr>
        <w:t>(Laine, 2010)</w:t>
      </w:r>
      <w:r w:rsidRPr="003971F1">
        <w:rPr>
          <w:rFonts w:ascii="Book Antiqua" w:hAnsi="Book Antiqua"/>
          <w:lang w:val="en-US"/>
        </w:rPr>
        <w:fldChar w:fldCharType="end"/>
      </w:r>
      <w:r w:rsidRPr="003971F1">
        <w:rPr>
          <w:rFonts w:ascii="Book Antiqua" w:hAnsi="Book Antiqua"/>
          <w:lang w:val="en-US"/>
        </w:rPr>
        <w:t xml:space="preserve">. The natural environment is an integral part of the stakeholder network, forging its spirit and the daily human activities that depend on it (Driscoll and </w:t>
      </w:r>
      <w:proofErr w:type="spellStart"/>
      <w:r w:rsidRPr="003971F1">
        <w:rPr>
          <w:rFonts w:ascii="Book Antiqua" w:hAnsi="Book Antiqua"/>
          <w:lang w:val="en-US"/>
        </w:rPr>
        <w:t>Starik</w:t>
      </w:r>
      <w:proofErr w:type="spellEnd"/>
      <w:r w:rsidRPr="003971F1">
        <w:rPr>
          <w:rFonts w:ascii="Book Antiqua" w:hAnsi="Book Antiqua"/>
          <w:lang w:val="en-US"/>
        </w:rPr>
        <w:t xml:space="preserve"> 2004; Stead and Stead 1996). Thus, it can be acknowledged that the natural environment has its own dynamics and its own goods that are independent with human purposes and therefore deserving of a certain kind of moral respect </w:t>
      </w:r>
      <w:r w:rsidRPr="003971F1">
        <w:rPr>
          <w:rFonts w:ascii="Book Antiqua" w:hAnsi="Book Antiqua"/>
          <w:lang w:val="en-US"/>
        </w:rPr>
        <w:fldChar w:fldCharType="begin" w:fldLock="1"/>
      </w:r>
      <w:r w:rsidRPr="003971F1">
        <w:rPr>
          <w:rFonts w:ascii="Book Antiqua" w:hAnsi="Book Antiqua"/>
          <w:lang w:val="en-US"/>
        </w:rPr>
        <w:instrText>ADDIN CSL_CITATION {"citationItems":[{"id":"ITEM-1","itemData":{"DOI":"10.1073/pnas.1525003113","ISSN":"0027-8424","abstract":"Increasing human population interacts with local and global environments to deplete biodiversity and resources humans depend on, thus challenging societal values centered on growth and relying on technology to mitigate environmental stress. Although the need to address the environmental crisis, central to conservation science, generated greener versions of the growth paradigm, we need fundamental shifts in values that ensure transition from a growthcentered society to one acknowledging biophysical limits and centered on human well-being and biodiversity conservation. We discuss the role conservation science can play in this transformation, which poses ethical challenges and obstacles. We analyze how conservation and economics can achieve better consonance, the extent to which technology should be part of the solution, and difficulties the \"new conservation science\" has generated. An expanded ambition for conservation science should reconcile day-today action within the current context with uncompromising, explicit advocacy for radical transitions in core attitudes and processes that govern our interactions with the biosphere. A widening of its focus to understand better the interconnectedness between human wellbeing and acknowledgment of the limits of an ecologically functional and diverse planet will need to integrate ecological and social sciences better. Although ecology can highlight limits to growth and consequences of ignoring them, social sciences are necessary to diagnose societal mechanisms at work, how to correct them, and potential drivers of social change.","author":[{"dropping-particle":"","family":"Martin","given":"Jean-Louis","non-dropping-particle":"","parse-names":false,"suffix":""},{"dropping-particle":"","family":"Maris","given":"Virginie","non-dropping-particle":"","parse-names":false,"suffix":""},{"dropping-particle":"","family":"Simberloff","given":"Daniel S.","non-dropping-particle":"","parse-names":false,"suffix":""}],"container-title":"Proceedings of the National Academy of Sciences","id":"ITEM-1","issue":"22","issued":{"date-parts":[["2016"]]},"page":"6105-6112","title":"The need to respect nature and its limits challenges society and conservation science","type":"article-journal","volume":"113"},"uris":["http://www.mendeley.com/documents/?uuid=a323abd1-c44a-4098-81c7-075acc3d52b1"]}],"mendeley":{"formattedCitation":"(Martin, Maris and Simberloff, 2016)","plainTextFormattedCitation":"(Martin, Maris and Simberloff, 2016)","previouslyFormattedCitation":"(Martin, Maris and Simberloff, 2016)"},"properties":{"noteIndex":0},"schema":"https://github.com/citation-style-language/schema/raw/master/csl-citation.json"}</w:instrText>
      </w:r>
      <w:r w:rsidRPr="003971F1">
        <w:rPr>
          <w:rFonts w:ascii="Book Antiqua" w:hAnsi="Book Antiqua"/>
          <w:lang w:val="en-US"/>
        </w:rPr>
        <w:fldChar w:fldCharType="separate"/>
      </w:r>
      <w:r w:rsidRPr="003971F1">
        <w:rPr>
          <w:rFonts w:ascii="Book Antiqua" w:hAnsi="Book Antiqua"/>
          <w:noProof/>
          <w:lang w:val="en-US"/>
        </w:rPr>
        <w:t>(Martin, Maris and Simberloff, 2016)</w:t>
      </w:r>
      <w:r w:rsidRPr="003971F1">
        <w:rPr>
          <w:rFonts w:ascii="Book Antiqua" w:hAnsi="Book Antiqua"/>
          <w:lang w:val="en-US"/>
        </w:rPr>
        <w:fldChar w:fldCharType="end"/>
      </w:r>
      <w:r w:rsidRPr="003971F1">
        <w:rPr>
          <w:rFonts w:ascii="Book Antiqua" w:hAnsi="Book Antiqua"/>
          <w:lang w:val="en-US"/>
        </w:rPr>
        <w:t>.</w:t>
      </w:r>
    </w:p>
    <w:p w14:paraId="75A68CFA" w14:textId="77777777" w:rsidR="00F617C0" w:rsidRPr="003971F1" w:rsidRDefault="00F617C0" w:rsidP="002D2DD9">
      <w:pPr>
        <w:spacing w:after="120"/>
        <w:jc w:val="both"/>
        <w:rPr>
          <w:rFonts w:ascii="Book Antiqua" w:hAnsi="Book Antiqua"/>
          <w:lang w:val="en-US"/>
        </w:rPr>
      </w:pPr>
      <w:r w:rsidRPr="003971F1">
        <w:rPr>
          <w:rFonts w:ascii="Book Antiqua" w:hAnsi="Book Antiqua"/>
          <w:lang w:val="en-US"/>
        </w:rPr>
        <w:t xml:space="preserve">The natural environment has been considered by human organizations with increasing awareness, and organizations have started to interact in a positive manner in response to the current environmental emergency. In fact, we are currently facing an environmental crisis. There is worldwide concern for the impact of climate change on the vulnerable natural ecosystem, from waste disposal and water pollution to the economic injustice of plastic, among others. Increasing consumption, economic development, and population growth are crucial factors in the limits and uses of natural resources. Our business activities, as well as our daily lives, affect biodiversity, natural habitats, and the natural ecosystem significantly. Climate change is deeply altering the entire earth; for example, mining activities have severe repercussions for biodiversity, as excavation and extraction permanently shape the local ecosystem </w:t>
      </w:r>
      <w:r w:rsidRPr="003971F1">
        <w:rPr>
          <w:rFonts w:ascii="Book Antiqua" w:hAnsi="Book Antiqua"/>
          <w:lang w:val="en-US"/>
        </w:rPr>
        <w:fldChar w:fldCharType="begin" w:fldLock="1"/>
      </w:r>
      <w:r w:rsidRPr="003971F1">
        <w:rPr>
          <w:rFonts w:ascii="Book Antiqua" w:hAnsi="Book Antiqua"/>
          <w:lang w:val="en-US"/>
        </w:rPr>
        <w:instrText>ADDIN CSL_CITATION {"citationItems":[{"id":"ITEM-1","itemData":{"DOI":"10.1007/s10551-015-2668-3","author":[{"dropping-particle":"","family":"Boiral","given":"Olivier","non-dropping-particle":"","parse-names":false,"suffix":""},{"dropping-particle":"","family":"Heras-Saizarbitoria","given":"Inaki","non-dropping-particle":"","parse-names":false,"suffix":""}],"container-title":"Journal of Business Ethics","id":"ITEM-1","issued":{"date-parts":[["2017"]]},"page":"403-421","title":"Managing Biodiversity Through Stakeholder Involvement : Why , Who , and for What Initiatives ?","type":"article-journal"},"uris":["http://www.mendeley.com/documents/?uuid=0c8f7aab-60d6-4122-9570-4f9ec447b3ae"]}],"mendeley":{"formattedCitation":"(Boiral and Heras-Saizarbitoria, 2017)","plainTextFormattedCitation":"(Boiral and Heras-Saizarbitoria, 2017)","previouslyFormattedCitation":"(Boiral and Heras-Saizarbitoria, 2017)"},"properties":{"noteIndex":0},"schema":"https://github.com/citation-style-language/schema/raw/master/csl-citation.json"}</w:instrText>
      </w:r>
      <w:r w:rsidRPr="003971F1">
        <w:rPr>
          <w:rFonts w:ascii="Book Antiqua" w:hAnsi="Book Antiqua"/>
          <w:lang w:val="en-US"/>
        </w:rPr>
        <w:fldChar w:fldCharType="separate"/>
      </w:r>
      <w:r w:rsidRPr="003971F1">
        <w:rPr>
          <w:rFonts w:ascii="Book Antiqua" w:hAnsi="Book Antiqua"/>
          <w:noProof/>
          <w:lang w:val="en-US"/>
        </w:rPr>
        <w:t>(Boiral and Heras-Saizarbitoria, 2017)</w:t>
      </w:r>
      <w:r w:rsidRPr="003971F1">
        <w:rPr>
          <w:rFonts w:ascii="Book Antiqua" w:hAnsi="Book Antiqua"/>
          <w:lang w:val="en-US"/>
        </w:rPr>
        <w:fldChar w:fldCharType="end"/>
      </w:r>
      <w:r w:rsidRPr="003971F1">
        <w:rPr>
          <w:rFonts w:ascii="Book Antiqua" w:hAnsi="Book Antiqua"/>
          <w:lang w:val="en-US"/>
        </w:rPr>
        <w:t xml:space="preserve">. In addition, oil extraction leads to toxic waste, air pollution, and transportation spills, along with the usurpation of indigenous people’s local ecosystems. Furthermore, we can include soil contamination and erosion, the consequences of urbanization and natural reforestation, which are reducing the area of available fertile land every year. </w:t>
      </w:r>
    </w:p>
    <w:p w14:paraId="117B49A9" w14:textId="77777777" w:rsidR="00F617C0" w:rsidRPr="003971F1" w:rsidRDefault="00F617C0" w:rsidP="002D2DD9">
      <w:pPr>
        <w:spacing w:after="120"/>
        <w:jc w:val="both"/>
        <w:rPr>
          <w:rFonts w:ascii="Book Antiqua" w:hAnsi="Book Antiqua"/>
          <w:lang w:val="en-US"/>
        </w:rPr>
      </w:pPr>
      <w:r w:rsidRPr="003971F1">
        <w:rPr>
          <w:rFonts w:ascii="Book Antiqua" w:hAnsi="Book Antiqua"/>
          <w:lang w:val="en-US"/>
        </w:rPr>
        <w:lastRenderedPageBreak/>
        <w:t xml:space="preserve">These impacts and related increasing pressures have reinforced the acknowledgment of this issue. Countries and business organizations have started to implement specific activities against such a worldwide and urgent challenge. In effect, they have progressively promoted and enacted practices to prevent natural resource losses, to protect natural habitats, and to conserve the natural ecosystem. This has in urgent demand to “keep human activity within safe ecological limits and to avoid human induced loss of biodiversity through extinctions and passing other ecological points of no return” </w:t>
      </w:r>
      <w:r w:rsidRPr="003971F1">
        <w:rPr>
          <w:rFonts w:ascii="Book Antiqua" w:hAnsi="Book Antiqua"/>
          <w:lang w:val="en-US"/>
        </w:rPr>
        <w:fldChar w:fldCharType="begin" w:fldLock="1"/>
      </w:r>
      <w:r w:rsidRPr="003971F1">
        <w:rPr>
          <w:rFonts w:ascii="Book Antiqua" w:hAnsi="Book Antiqua"/>
          <w:lang w:val="en-US"/>
        </w:rPr>
        <w:instrText>ADDIN CSL_CITATION {"citationItems":[{"id":"ITEM-1","itemData":{"DOI":"10.1073/pnas.1525003113","ISSN":"0027-8424","abstract":"Increasing human population interacts with local and global environments to deplete biodiversity and resources humans depend on, thus challenging societal values centered on growth and relying on technology to mitigate environmental stress. Although the need to address the environmental crisis, central to conservation science, generated greener versions of the growth paradigm, we need fundamental shifts in values that ensure transition from a growthcentered society to one acknowledging biophysical limits and centered on human well-being and biodiversity conservation. We discuss the role conservation science can play in this transformation, which poses ethical challenges and obstacles. We analyze how conservation and economics can achieve better consonance, the extent to which technology should be part of the solution, and difficulties the \"new conservation science\" has generated. An expanded ambition for conservation science should reconcile day-today action within the current context with uncompromising, explicit advocacy for radical transitions in core attitudes and processes that govern our interactions with the biosphere. A widening of its focus to understand better the interconnectedness between human wellbeing and acknowledgment of the limits of an ecologically functional and diverse planet will need to integrate ecological and social sciences better. Although ecology can highlight limits to growth and consequences of ignoring them, social sciences are necessary to diagnose societal mechanisms at work, how to correct them, and potential drivers of social change.","author":[{"dropping-particle":"","family":"Martin","given":"Jean-Louis","non-dropping-particle":"","parse-names":false,"suffix":""},{"dropping-particle":"","family":"Maris","given":"Virginie","non-dropping-particle":"","parse-names":false,"suffix":""},{"dropping-particle":"","family":"Simberloff","given":"Daniel S.","non-dropping-particle":"","parse-names":false,"suffix":""}],"container-title":"Proceedings of the National Academy of Sciences","id":"ITEM-1","issue":"22","issued":{"date-parts":[["2016"]]},"page":"6105-6112","title":"The need to respect nature and its limits challenges society and conservation science","type":"article-journal","volume":"113"},"uris":["http://www.mendeley.com/documents/?uuid=a323abd1-c44a-4098-81c7-075acc3d52b1"]}],"mendeley":{"formattedCitation":"(Martin, Maris and Simberloff, 2016)","plainTextFormattedCitation":"(Martin, Maris and Simberloff, 2016)","previouslyFormattedCitation":"(Martin, Maris and Simberloff, 2016)"},"properties":{"noteIndex":0},"schema":"https://github.com/citation-style-language/schema/raw/master/csl-citation.json"}</w:instrText>
      </w:r>
      <w:r w:rsidRPr="003971F1">
        <w:rPr>
          <w:rFonts w:ascii="Book Antiqua" w:hAnsi="Book Antiqua"/>
          <w:lang w:val="en-US"/>
        </w:rPr>
        <w:fldChar w:fldCharType="separate"/>
      </w:r>
      <w:r w:rsidRPr="003971F1">
        <w:rPr>
          <w:rFonts w:ascii="Book Antiqua" w:hAnsi="Book Antiqua"/>
          <w:noProof/>
          <w:lang w:val="en-US"/>
        </w:rPr>
        <w:t>(Martin, Maris and Simberloff, 2016)</w:t>
      </w:r>
      <w:r w:rsidRPr="003971F1">
        <w:rPr>
          <w:rFonts w:ascii="Book Antiqua" w:hAnsi="Book Antiqua"/>
          <w:lang w:val="en-US"/>
        </w:rPr>
        <w:fldChar w:fldCharType="end"/>
      </w:r>
      <w:r w:rsidRPr="003971F1">
        <w:rPr>
          <w:rFonts w:ascii="Book Antiqua" w:hAnsi="Book Antiqua"/>
          <w:lang w:val="en-US"/>
        </w:rPr>
        <w:t>. Business organizations and citizens have been encouraged to consume resources responsibly, recycle products, reduce waste products, and prioritize renewable energy.</w:t>
      </w:r>
    </w:p>
    <w:p w14:paraId="41C58F2B" w14:textId="77777777" w:rsidR="00F617C0" w:rsidRPr="003971F1" w:rsidRDefault="00F617C0" w:rsidP="002D2DD9">
      <w:pPr>
        <w:spacing w:after="120"/>
        <w:jc w:val="both"/>
        <w:rPr>
          <w:rFonts w:ascii="Book Antiqua" w:hAnsi="Book Antiqua"/>
          <w:lang w:val="en-US"/>
        </w:rPr>
      </w:pPr>
      <w:r w:rsidRPr="003971F1">
        <w:rPr>
          <w:rFonts w:ascii="Book Antiqua" w:hAnsi="Book Antiqua"/>
          <w:lang w:val="en-US"/>
        </w:rPr>
        <w:t xml:space="preserve">With this urgent call to put in action concrete practices against the imminent natural environmental collapse, business engagement for environmental protection is gaining prominence. Engagement actions should reflect environmental limits and their dynamic complexity; consequently, the impacts of human activities should be integral to ecosystem interactions, just as ecosystems are integral to human activities </w:t>
      </w:r>
      <w:r w:rsidRPr="003971F1">
        <w:rPr>
          <w:rFonts w:ascii="Book Antiqua" w:hAnsi="Book Antiqua"/>
          <w:lang w:val="en-US"/>
        </w:rPr>
        <w:fldChar w:fldCharType="begin" w:fldLock="1"/>
      </w:r>
      <w:r w:rsidRPr="003971F1">
        <w:rPr>
          <w:rFonts w:ascii="Book Antiqua" w:hAnsi="Book Antiqua"/>
          <w:lang w:val="en-US"/>
        </w:rPr>
        <w:instrText>ADDIN CSL_CITATION {"citationItems":[{"id":"ITEM-1","itemData":{"DOI":"10.1073/pnas.1525003113","ISSN":"0027-8424","abstract":"Increasing human population interacts with local and global environments to deplete biodiversity and resources humans depend on, thus challenging societal values centered on growth and relying on technology to mitigate environmental stress. Although the need to address the environmental crisis, central to conservation science, generated greener versions of the growth paradigm, we need fundamental shifts in values that ensure transition from a growthcentered society to one acknowledging biophysical limits and centered on human well-being and biodiversity conservation. We discuss the role conservation science can play in this transformation, which poses ethical challenges and obstacles. We analyze how conservation and economics can achieve better consonance, the extent to which technology should be part of the solution, and difficulties the \"new conservation science\" has generated. An expanded ambition for conservation science should reconcile day-today action within the current context with uncompromising, explicit advocacy for radical transitions in core attitudes and processes that govern our interactions with the biosphere. A widening of its focus to understand better the interconnectedness between human wellbeing and acknowledgment of the limits of an ecologically functional and diverse planet will need to integrate ecological and social sciences better. Although ecology can highlight limits to growth and consequences of ignoring them, social sciences are necessary to diagnose societal mechanisms at work, how to correct them, and potential drivers of social change.","author":[{"dropping-particle":"","family":"Martin","given":"Jean-Louis","non-dropping-particle":"","parse-names":false,"suffix":""},{"dropping-particle":"","family":"Maris","given":"Virginie","non-dropping-particle":"","parse-names":false,"suffix":""},{"dropping-particle":"","family":"Simberloff","given":"Daniel S.","non-dropping-particle":"","parse-names":false,"suffix":""}],"container-title":"Proceedings of the National Academy of Sciences","id":"ITEM-1","issue":"22","issued":{"date-parts":[["2016"]]},"page":"6105-6112","title":"The need to respect nature and its limits challenges society and conservation science","type":"article-journal","volume":"113"},"uris":["http://www.mendeley.com/documents/?uuid=a323abd1-c44a-4098-81c7-075acc3d52b1"]}],"mendeley":{"formattedCitation":"(Martin, Maris and Simberloff, 2016)","plainTextFormattedCitation":"(Martin, Maris and Simberloff, 2016)","previouslyFormattedCitation":"(Martin, Maris and Simberloff, 2016)"},"properties":{"noteIndex":0},"schema":"https://github.com/citation-style-language/schema/raw/master/csl-citation.json"}</w:instrText>
      </w:r>
      <w:r w:rsidRPr="003971F1">
        <w:rPr>
          <w:rFonts w:ascii="Book Antiqua" w:hAnsi="Book Antiqua"/>
          <w:lang w:val="en-US"/>
        </w:rPr>
        <w:fldChar w:fldCharType="separate"/>
      </w:r>
      <w:r w:rsidRPr="003971F1">
        <w:rPr>
          <w:rFonts w:ascii="Book Antiqua" w:hAnsi="Book Antiqua"/>
          <w:noProof/>
          <w:lang w:val="en-US"/>
        </w:rPr>
        <w:t>(Martin, Maris and Simberloff, 2016)</w:t>
      </w:r>
      <w:r w:rsidRPr="003971F1">
        <w:rPr>
          <w:rFonts w:ascii="Book Antiqua" w:hAnsi="Book Antiqua"/>
          <w:lang w:val="en-US"/>
        </w:rPr>
        <w:fldChar w:fldCharType="end"/>
      </w:r>
      <w:r w:rsidRPr="003971F1">
        <w:rPr>
          <w:rFonts w:ascii="Book Antiqua" w:hAnsi="Book Antiqua"/>
          <w:lang w:val="en-US"/>
        </w:rPr>
        <w:t>. Drawing on this premise thus far, we maintain that there is an interconnectedness pattern between the natural environment and the stakeholder network. The stakeholder network has a dual and reciprocal relationship with the natural environment in the sense that it receives positive and negative stimuli and influences which needs to undertake and eventually tackle to maintain and preserve a coexisting balance between natural resources and human power.</w:t>
      </w:r>
    </w:p>
    <w:p w14:paraId="7CAE3526" w14:textId="7AA8BDB7" w:rsidR="00F617C0" w:rsidRPr="003971F1" w:rsidRDefault="00F617C0" w:rsidP="002D2DD9">
      <w:pPr>
        <w:spacing w:after="120"/>
        <w:jc w:val="both"/>
        <w:rPr>
          <w:rFonts w:ascii="Book Antiqua" w:hAnsi="Book Antiqua"/>
          <w:lang w:val="en-US"/>
        </w:rPr>
      </w:pPr>
      <w:r w:rsidRPr="003971F1">
        <w:rPr>
          <w:rFonts w:ascii="Book Antiqua" w:hAnsi="Book Antiqua"/>
          <w:lang w:val="en-US"/>
        </w:rPr>
        <w:t xml:space="preserve">The literature on environmental management extensively demonstrates the relevance of taking the interests and expectations of stakeholders into account (Hart and Sharma, 2004; </w:t>
      </w:r>
      <w:proofErr w:type="spellStart"/>
      <w:r w:rsidRPr="003971F1">
        <w:rPr>
          <w:rFonts w:ascii="Book Antiqua" w:hAnsi="Book Antiqua"/>
          <w:lang w:val="en-US"/>
        </w:rPr>
        <w:t>Buysse</w:t>
      </w:r>
      <w:proofErr w:type="spellEnd"/>
      <w:r w:rsidRPr="003971F1">
        <w:rPr>
          <w:rFonts w:ascii="Book Antiqua" w:hAnsi="Book Antiqua"/>
          <w:lang w:val="en-US"/>
        </w:rPr>
        <w:t xml:space="preserve"> and </w:t>
      </w:r>
      <w:proofErr w:type="spellStart"/>
      <w:r w:rsidRPr="003971F1">
        <w:rPr>
          <w:rFonts w:ascii="Book Antiqua" w:hAnsi="Book Antiqua"/>
          <w:lang w:val="en-US"/>
        </w:rPr>
        <w:t>Verbeke</w:t>
      </w:r>
      <w:proofErr w:type="spellEnd"/>
      <w:r w:rsidRPr="003971F1">
        <w:rPr>
          <w:rFonts w:ascii="Book Antiqua" w:hAnsi="Book Antiqua"/>
          <w:lang w:val="en-US"/>
        </w:rPr>
        <w:t xml:space="preserve">, 2003; </w:t>
      </w:r>
      <w:proofErr w:type="spellStart"/>
      <w:r w:rsidRPr="003971F1">
        <w:rPr>
          <w:rFonts w:ascii="Book Antiqua" w:hAnsi="Book Antiqua"/>
          <w:lang w:val="en-US"/>
        </w:rPr>
        <w:t>Cragg</w:t>
      </w:r>
      <w:proofErr w:type="spellEnd"/>
      <w:r w:rsidRPr="003971F1">
        <w:rPr>
          <w:rFonts w:ascii="Book Antiqua" w:hAnsi="Book Antiqua"/>
          <w:lang w:val="en-US"/>
        </w:rPr>
        <w:t xml:space="preserve"> and </w:t>
      </w:r>
      <w:proofErr w:type="spellStart"/>
      <w:r w:rsidRPr="003971F1">
        <w:rPr>
          <w:rFonts w:ascii="Book Antiqua" w:hAnsi="Book Antiqua"/>
          <w:lang w:val="en-US"/>
        </w:rPr>
        <w:t>Greenbaum</w:t>
      </w:r>
      <w:proofErr w:type="spellEnd"/>
      <w:r w:rsidRPr="003971F1">
        <w:rPr>
          <w:rFonts w:ascii="Book Antiqua" w:hAnsi="Book Antiqua"/>
          <w:lang w:val="en-US"/>
        </w:rPr>
        <w:t>,</w:t>
      </w:r>
      <w:r w:rsidR="002D2DD9" w:rsidRPr="003971F1">
        <w:rPr>
          <w:rFonts w:ascii="Book Antiqua" w:hAnsi="Book Antiqua"/>
          <w:lang w:val="en-US"/>
        </w:rPr>
        <w:t xml:space="preserve"> 2002), which is presented in th</w:t>
      </w:r>
      <w:r w:rsidRPr="003971F1">
        <w:rPr>
          <w:rFonts w:ascii="Book Antiqua" w:hAnsi="Book Antiqua"/>
          <w:lang w:val="en-US"/>
        </w:rPr>
        <w:t>e next section.</w:t>
      </w:r>
    </w:p>
    <w:p w14:paraId="44E73CFE" w14:textId="1D2700E8" w:rsidR="00F617C0" w:rsidRPr="002B57BB" w:rsidRDefault="006E21A6" w:rsidP="006E21A6">
      <w:pPr>
        <w:pStyle w:val="Titolo2"/>
        <w:numPr>
          <w:ilvl w:val="1"/>
          <w:numId w:val="11"/>
        </w:numPr>
      </w:pPr>
      <w:r>
        <w:t>I</w:t>
      </w:r>
      <w:r w:rsidR="00432623">
        <w:t>nvolvement with environmental issues</w:t>
      </w:r>
    </w:p>
    <w:p w14:paraId="0BF03950" w14:textId="79BFF935" w:rsidR="00F617C0" w:rsidRPr="003971F1" w:rsidRDefault="00F617C0" w:rsidP="002D2DD9">
      <w:pPr>
        <w:autoSpaceDE w:val="0"/>
        <w:autoSpaceDN w:val="0"/>
        <w:adjustRightInd w:val="0"/>
        <w:spacing w:after="120"/>
        <w:jc w:val="both"/>
        <w:rPr>
          <w:rFonts w:ascii="Book Antiqua" w:hAnsi="Book Antiqua"/>
          <w:lang w:val="en-US"/>
        </w:rPr>
      </w:pPr>
      <w:r w:rsidRPr="003971F1">
        <w:rPr>
          <w:rFonts w:ascii="Book Antiqua" w:hAnsi="Book Antiqua"/>
          <w:lang w:val="en-US"/>
        </w:rPr>
        <w:t xml:space="preserve">Academic studies in the field of stakeholder involvement with environmental issues have gained considerable interest </w:t>
      </w:r>
      <w:r w:rsidRPr="003971F1">
        <w:rPr>
          <w:rFonts w:ascii="Book Antiqua" w:hAnsi="Book Antiqua"/>
          <w:lang w:val="en-US"/>
        </w:rPr>
        <w:fldChar w:fldCharType="begin" w:fldLock="1"/>
      </w:r>
      <w:r w:rsidRPr="003971F1">
        <w:rPr>
          <w:rFonts w:ascii="Book Antiqua" w:hAnsi="Book Antiqua"/>
          <w:lang w:val="en-US"/>
        </w:rPr>
        <w:instrText>ADDIN CSL_CITATION {"citationItems":[{"id":"ITEM-1","itemData":{"DOI":"10.1007/s10551-008-9885-y","author":[{"dropping-particle":"","family":"Onkila","given":"Tiina Johanna","non-dropping-particle":"","parse-names":false,"suffix":""}],"id":"ITEM-1","issued":{"date-parts":[["2009"]]},"page":"285-298","title":"Corporate Argumentation for Acceptability : Reflections of Environmental Values and Stakeholder Relations in Corporate Environmental","type":"article-journal"},"uris":["http://www.mendeley.com/documents/?uuid=288b5449-339b-4dbd-acea-a61210002e02"]},{"id":"ITEM-2","itemData":{"DOI":"10.1007/s10551-016-3121-y","ISSN":"15730697","abstract":"© 2016 Springer Science+Business Media Dordrecht Stakeholder maneuvers such as Internet media attacks or consumer boycotts can have devastating effects on companies. By contrary, vital relationships between companies and their stakeholders can be highly beneficial. A review of the existing stakeholder-management literature suggests to engage stakeholders in business activities in a positive manner. However, the types of successful engagement activities differ across industries. The purposes of this article are to develop an explanatory framework based on the literature findings, to introduce stakeholder-engagement literature to a segment of the water sourcing industry, and to unfold industry’s stakeholder-engagement measures. Based on a content analysis of 11 cases, we investigate if and how companies in the natural mineral water bottling industry in Austria inform, communicate, and therefore engage with stakeholders. It became evident that fewer than three of eleven companies published information on sustainability or corporate social responsibility reports, open house days, workshops, or international community activities. Most companies maintained a website for their bottled natural mineral water or communicated quality consciousness. We conclude that most companies in the Austrian mineral water industry could increase their stakeholder-engagement activities to positively respond to challenging business environments.","author":[{"dropping-particle":"","family":"Provasnek","given":"Anna Katharina","non-dropping-particle":"","parse-names":false,"suffix":""},{"dropping-particle":"","family":"Schmid","given":"Erwin","non-dropping-particle":"","parse-names":false,"suffix":""},{"dropping-particle":"","family":"Steiner","given":"Gerald","non-dropping-particle":"","parse-names":false,"suffix":""}],"container-title":"Journal of Business Ethics","id":"ITEM-2","issue":"2","issued":{"date-parts":[["2018"]]},"page":"467-484","publisher":"Springer Netherlands","title":"Stakeholder Engagement: Keeping Business Legitimate in Austria’s Natural Mineral Water Bottling Industry","type":"article-journal","volume":"150"},"uris":["http://www.mendeley.com/documents/?uuid=1300e60f-f0c4-47ae-b16b-29dc512e6157"]},{"id":"ITEM-3","itemData":{"DOI":"10.1007/s10551-015-2668-3","author":[{"dropping-particle":"","family":"Boiral","given":"Olivier","non-dropping-particle":"","parse-names":false,"suffix":""},{"dropping-particle":"","family":"Heras-Saizarbitoria","given":"Inaki","non-dropping-particle":"","parse-names":false,"suffix":""}],"container-title":"Journal of Business Ethics","id":"ITEM-3","issued":{"date-parts":[["2017"]]},"page":"403-421","title":"Managing Biodiversity Through Stakeholder Involvement : Why , Who , and for What Initiatives ?","type":"article-journal"},"uris":["http://www.mendeley.com/documents/?uuid=0c8f7aab-60d6-4122-9570-4f9ec447b3ae"]}],"mendeley":{"formattedCitation":"(Onkila, 2009; Boiral and Heras-Saizarbitoria, 2017; Provasnek, Schmid and Steiner, 2018)","plainTextFormattedCitation":"(Onkila, 2009; Boiral and Heras-Saizarbitoria, 2017; Provasnek, Schmid and Steiner, 2018)","previouslyFormattedCitation":"(Onkila, 2009; Boiral and Heras-Saizarbitoria, 2017; Provasnek, Schmid and Steiner, 2018)"},"properties":{"noteIndex":0},"schema":"https://github.com/citation-style-language/schema/raw/master/csl-citation.json"}</w:instrText>
      </w:r>
      <w:r w:rsidRPr="003971F1">
        <w:rPr>
          <w:rFonts w:ascii="Book Antiqua" w:hAnsi="Book Antiqua"/>
          <w:lang w:val="en-US"/>
        </w:rPr>
        <w:fldChar w:fldCharType="separate"/>
      </w:r>
      <w:r w:rsidRPr="003971F1">
        <w:rPr>
          <w:rFonts w:ascii="Book Antiqua" w:hAnsi="Book Antiqua"/>
          <w:noProof/>
          <w:lang w:val="en-US"/>
        </w:rPr>
        <w:t>(Onkila, 2009; Boiral and Heras-Saizarbitoria, 2017; Provasnek, Schmid and Steiner, 2018)</w:t>
      </w:r>
      <w:r w:rsidRPr="003971F1">
        <w:rPr>
          <w:rFonts w:ascii="Book Antiqua" w:hAnsi="Book Antiqua"/>
          <w:lang w:val="en-US"/>
        </w:rPr>
        <w:fldChar w:fldCharType="end"/>
      </w:r>
      <w:r w:rsidRPr="003971F1">
        <w:rPr>
          <w:rFonts w:ascii="Book Antiqua" w:hAnsi="Book Antiqua"/>
          <w:lang w:val="en-US"/>
        </w:rPr>
        <w:t xml:space="preserve">. The study of </w:t>
      </w:r>
      <w:r w:rsidRPr="003971F1">
        <w:rPr>
          <w:rFonts w:ascii="Book Antiqua" w:hAnsi="Book Antiqua"/>
          <w:lang w:val="en-US"/>
        </w:rPr>
        <w:fldChar w:fldCharType="begin" w:fldLock="1"/>
      </w:r>
      <w:r w:rsidR="00BC2BDB" w:rsidRPr="003971F1">
        <w:rPr>
          <w:rFonts w:ascii="Book Antiqua" w:hAnsi="Book Antiqua"/>
          <w:lang w:val="en-US"/>
        </w:rPr>
        <w:instrText>ADDIN CSL_CITATION {"citationItems":[{"id":"ITEM-1","itemData":{"DOI":"10.1007/s10551-008-9885-y","author":[{"dropping-particle":"","family":"Onkila","given":"Tiina Johanna","non-dropping-particle":"","parse-names":false,"suffix":""}],"id":"ITEM-1","issued":{"date-parts":[["2009"]]},"page":"285-298","title":"Corporate Argumentation for Acceptability : Reflections of Environmental Values and Stakeholder Relations in Corporate Environmental","type":"article-journal"},"uris":["http://www.mendeley.com/documents/?uuid=288b5449-339b-4dbd-acea-a61210002e02"]}],"mendeley":{"formattedCitation":"(Onkila, 2009)","manualFormatting":"Onkila (2009)","plainTextFormattedCitation":"(Onkila, 2009)","previouslyFormattedCitation":"(Onkila, 2009)"},"properties":{"noteIndex":0},"schema":"https://github.com/citation-style-language/schema/raw/master/csl-citation.json"}</w:instrText>
      </w:r>
      <w:r w:rsidRPr="003971F1">
        <w:rPr>
          <w:rFonts w:ascii="Book Antiqua" w:hAnsi="Book Antiqua"/>
          <w:lang w:val="en-US"/>
        </w:rPr>
        <w:fldChar w:fldCharType="separate"/>
      </w:r>
      <w:r w:rsidRPr="003971F1">
        <w:rPr>
          <w:rFonts w:ascii="Book Antiqua" w:hAnsi="Book Antiqua"/>
          <w:noProof/>
          <w:lang w:val="en-US"/>
        </w:rPr>
        <w:t>Onkila (2009)</w:t>
      </w:r>
      <w:r w:rsidRPr="003971F1">
        <w:rPr>
          <w:rFonts w:ascii="Book Antiqua" w:hAnsi="Book Antiqua"/>
          <w:lang w:val="en-US"/>
        </w:rPr>
        <w:fldChar w:fldCharType="end"/>
      </w:r>
      <w:r w:rsidRPr="003971F1">
        <w:rPr>
          <w:rFonts w:ascii="Book Antiqua" w:hAnsi="Book Antiqua"/>
          <w:lang w:val="en-US"/>
        </w:rPr>
        <w:t xml:space="preserve"> is one of the first to analyze the relationship between human action and environmental issues in business and how companies argue for its acceptability in environmental reports. The language used in those reports promote the acceptability of environmental actions using three power-related rhetorical forms, namely, dominance and subordination, equality, and joint action, and remarkable limitations of responsibility, in the sense that boundaries that impose environmental inaction are lacking. </w:t>
      </w:r>
    </w:p>
    <w:p w14:paraId="3F82975F" w14:textId="654792B0" w:rsidR="00F617C0" w:rsidRPr="003971F1" w:rsidRDefault="00F617C0" w:rsidP="002D2DD9">
      <w:pPr>
        <w:autoSpaceDE w:val="0"/>
        <w:autoSpaceDN w:val="0"/>
        <w:adjustRightInd w:val="0"/>
        <w:spacing w:after="120"/>
        <w:jc w:val="both"/>
        <w:rPr>
          <w:rFonts w:ascii="Book Antiqua" w:hAnsi="Book Antiqua"/>
          <w:lang w:val="en-US"/>
        </w:rPr>
      </w:pPr>
      <w:r w:rsidRPr="003971F1">
        <w:rPr>
          <w:rFonts w:ascii="Book Antiqua" w:hAnsi="Book Antiqua"/>
          <w:lang w:val="en-US"/>
        </w:rPr>
        <w:t xml:space="preserve">The academic of work of </w:t>
      </w:r>
      <w:r w:rsidRPr="003971F1">
        <w:rPr>
          <w:rFonts w:ascii="Book Antiqua" w:hAnsi="Book Antiqua"/>
          <w:lang w:val="en-US"/>
        </w:rPr>
        <w:fldChar w:fldCharType="begin" w:fldLock="1"/>
      </w:r>
      <w:r w:rsidR="00BC2BDB" w:rsidRPr="003971F1">
        <w:rPr>
          <w:rFonts w:ascii="Book Antiqua" w:hAnsi="Book Antiqua"/>
          <w:lang w:val="en-US"/>
        </w:rPr>
        <w:instrText>ADDIN CSL_CITATION {"citationItems":[{"id":"ITEM-1","itemData":{"DOI":"10.1007/s10551-015-2668-3","author":[{"dropping-particle":"","family":"Boiral","given":"Olivier","non-dropping-particle":"","parse-names":false,"suffix":""},{"dropping-particle":"","family":"Heras-Saizarbitoria","given":"Inaki","non-dropping-particle":"","parse-names":false,"suffix":""}],"container-title":"Journal of Business Ethics","id":"ITEM-1","issued":{"date-parts":[["2017"]]},"page":"403-421","title":"Managing Biodiversity Through Stakeholder Involvement : Why , Who , and for What Initiatives ?","type":"article-journal"},"uris":["http://www.mendeley.com/documents/?uuid=0c8f7aab-60d6-4122-9570-4f9ec447b3ae"]}],"mendeley":{"formattedCitation":"(Boiral and Heras-Saizarbitoria, 2017)","manualFormatting":"Boiral and Heras-Saizarbitoria (2017)","plainTextFormattedCitation":"(Boiral and Heras-Saizarbitoria, 2017)","previouslyFormattedCitation":"(Boiral and Heras-Saizarbitoria, 2017)"},"properties":{"noteIndex":0},"schema":"https://github.com/citation-style-language/schema/raw/master/csl-citation.json"}</w:instrText>
      </w:r>
      <w:r w:rsidRPr="003971F1">
        <w:rPr>
          <w:rFonts w:ascii="Book Antiqua" w:hAnsi="Book Antiqua"/>
          <w:lang w:val="en-US"/>
        </w:rPr>
        <w:fldChar w:fldCharType="separate"/>
      </w:r>
      <w:r w:rsidRPr="003971F1">
        <w:rPr>
          <w:rFonts w:ascii="Book Antiqua" w:hAnsi="Book Antiqua"/>
          <w:noProof/>
          <w:lang w:val="en-US"/>
        </w:rPr>
        <w:t>Boiral and Heras-Saizarbitoria (2017)</w:t>
      </w:r>
      <w:r w:rsidRPr="003971F1">
        <w:rPr>
          <w:rFonts w:ascii="Book Antiqua" w:hAnsi="Book Antiqua"/>
          <w:lang w:val="en-US"/>
        </w:rPr>
        <w:fldChar w:fldCharType="end"/>
      </w:r>
      <w:r w:rsidRPr="003971F1">
        <w:rPr>
          <w:rFonts w:ascii="Book Antiqua" w:hAnsi="Book Antiqua"/>
          <w:lang w:val="en-US"/>
        </w:rPr>
        <w:t xml:space="preserve"> focuses on the reasons underlying stakeholder involvement, the nature of stakeholders, and the types of measures enacted to manage biodiversity. Based on a content analysis of sustainability reports, motives and antecedents can be circumscribed under complexity and knowledge management, self-regulation and relationships with public authorities, legitimacy and social responsiveness, and commercial and strategic objectives. Depending on the companies’ objectives, stakeholder engagement practices are grouped into management practices, socio-political actions, and research and </w:t>
      </w:r>
      <w:r w:rsidRPr="003971F1">
        <w:rPr>
          <w:rFonts w:ascii="Book Antiqua" w:hAnsi="Book Antiqua"/>
          <w:lang w:val="en-US"/>
        </w:rPr>
        <w:lastRenderedPageBreak/>
        <w:t>conservation measures, and they mainly involve experts and universities, public authorities, and non-governmental organizations.</w:t>
      </w:r>
    </w:p>
    <w:p w14:paraId="0FF5F2C7" w14:textId="6E006C81" w:rsidR="00F617C0" w:rsidRPr="003971F1" w:rsidRDefault="00F617C0" w:rsidP="002D2DD9">
      <w:pPr>
        <w:autoSpaceDE w:val="0"/>
        <w:autoSpaceDN w:val="0"/>
        <w:adjustRightInd w:val="0"/>
        <w:spacing w:after="120"/>
        <w:jc w:val="both"/>
        <w:rPr>
          <w:rFonts w:ascii="Book Antiqua" w:hAnsi="Book Antiqua"/>
          <w:lang w:val="en-US"/>
        </w:rPr>
      </w:pPr>
      <w:r w:rsidRPr="003971F1">
        <w:rPr>
          <w:rFonts w:ascii="Book Antiqua" w:hAnsi="Book Antiqua"/>
          <w:lang w:val="en-US"/>
        </w:rPr>
        <w:t xml:space="preserve">The more recent research of </w:t>
      </w:r>
      <w:r w:rsidRPr="003971F1">
        <w:rPr>
          <w:rFonts w:ascii="Book Antiqua" w:hAnsi="Book Antiqua"/>
          <w:lang w:val="en-US"/>
        </w:rPr>
        <w:fldChar w:fldCharType="begin" w:fldLock="1"/>
      </w:r>
      <w:r w:rsidR="00BC2BDB" w:rsidRPr="003971F1">
        <w:rPr>
          <w:rFonts w:ascii="Book Antiqua" w:hAnsi="Book Antiqua"/>
          <w:lang w:val="en-US"/>
        </w:rPr>
        <w:instrText>ADDIN CSL_CITATION {"citationItems":[{"id":"ITEM-1","itemData":{"DOI":"10.1007/s10551-016-3121-y","ISSN":"15730697","abstract":"© 2016 Springer Science+Business Media Dordrecht Stakeholder maneuvers such as Internet media attacks or consumer boycotts can have devastating effects on companies. By contrary, vital relationships between companies and their stakeholders can be highly beneficial. A review of the existing stakeholder-management literature suggests to engage stakeholders in business activities in a positive manner. However, the types of successful engagement activities differ across industries. The purposes of this article are to develop an explanatory framework based on the literature findings, to introduce stakeholder-engagement literature to a segment of the water sourcing industry, and to unfold industry’s stakeholder-engagement measures. Based on a content analysis of 11 cases, we investigate if and how companies in the natural mineral water bottling industry in Austria inform, communicate, and therefore engage with stakeholders. It became evident that fewer than three of eleven companies published information on sustainability or corporate social responsibility reports, open house days, workshops, or international community activities. Most companies maintained a website for their bottled natural mineral water or communicated quality consciousness. We conclude that most companies in the Austrian mineral water industry could increase their stakeholder-engagement activities to positively respond to challenging business environments.","author":[{"dropping-particle":"","family":"Provasnek","given":"Anna Katharina","non-dropping-particle":"","parse-names":false,"suffix":""},{"dropping-particle":"","family":"Schmid","given":"Erwin","non-dropping-particle":"","parse-names":false,"suffix":""},{"dropping-particle":"","family":"Steiner","given":"Gerald","non-dropping-particle":"","parse-names":false,"suffix":""}],"container-title":"Journal of Business Ethics","id":"ITEM-1","issue":"2","issued":{"date-parts":[["2018"]]},"page":"467-484","publisher":"Springer Netherlands","title":"Stakeholder Engagement: Keeping Business Legitimate in Austria’s Natural Mineral Water Bottling Industry","type":"article-journal","volume":"150"},"uris":["http://www.mendeley.com/documents/?uuid=1300e60f-f0c4-47ae-b16b-29dc512e6157"]}],"mendeley":{"formattedCitation":"(Provasnek, Schmid and Steiner, 2018)","manualFormatting":"Provasnek, Schmid, and Steiner (2018)","plainTextFormattedCitation":"(Provasnek, Schmid and Steiner, 2018)","previouslyFormattedCitation":"(Provasnek, Schmid and Steiner, 2018)"},"properties":{"noteIndex":0},"schema":"https://github.com/citation-style-language/schema/raw/master/csl-citation.json"}</w:instrText>
      </w:r>
      <w:r w:rsidRPr="003971F1">
        <w:rPr>
          <w:rFonts w:ascii="Book Antiqua" w:hAnsi="Book Antiqua"/>
          <w:lang w:val="en-US"/>
        </w:rPr>
        <w:fldChar w:fldCharType="separate"/>
      </w:r>
      <w:r w:rsidRPr="003971F1">
        <w:rPr>
          <w:rFonts w:ascii="Book Antiqua" w:hAnsi="Book Antiqua"/>
          <w:noProof/>
          <w:lang w:val="en-US"/>
        </w:rPr>
        <w:t>Provasnek, Schmid, and Steiner (2018)</w:t>
      </w:r>
      <w:r w:rsidRPr="003971F1">
        <w:rPr>
          <w:rFonts w:ascii="Book Antiqua" w:hAnsi="Book Antiqua"/>
          <w:lang w:val="en-US"/>
        </w:rPr>
        <w:fldChar w:fldCharType="end"/>
      </w:r>
      <w:r w:rsidRPr="003971F1">
        <w:rPr>
          <w:rFonts w:ascii="Book Antiqua" w:hAnsi="Book Antiqua"/>
          <w:lang w:val="en-US"/>
        </w:rPr>
        <w:t xml:space="preserve"> investigates whether and how companies inform and communicate with stakeholders in the specific context of the Australian natural mineral water bottling industry. The multiple case study identifies three stakeholder-engagement categories, namely, information, communication, and community activities, which secure legitimacy and reduce information asymmetries in the process. Unsurprisingly, companies implemented a limited number of engagement activities (p. 477). </w:t>
      </w:r>
    </w:p>
    <w:p w14:paraId="5C5888D7" w14:textId="7E5D3499" w:rsidR="00E84834" w:rsidRPr="003971F1" w:rsidRDefault="00BB4493" w:rsidP="006E21A6">
      <w:pPr>
        <w:pStyle w:val="Titolo2"/>
      </w:pPr>
      <w:r>
        <w:t>Research methodology</w:t>
      </w:r>
    </w:p>
    <w:p w14:paraId="47F32D1C" w14:textId="3668B3A6" w:rsidR="00971866" w:rsidRPr="002B57BB" w:rsidRDefault="00971866" w:rsidP="006E21A6">
      <w:pPr>
        <w:pStyle w:val="Titolo2"/>
        <w:numPr>
          <w:ilvl w:val="1"/>
          <w:numId w:val="11"/>
        </w:numPr>
      </w:pPr>
      <w:r w:rsidRPr="002B57BB">
        <w:t xml:space="preserve">Context of research </w:t>
      </w:r>
    </w:p>
    <w:p w14:paraId="0A035B19" w14:textId="7FE18049" w:rsidR="00874C39" w:rsidRPr="003971F1" w:rsidRDefault="00B4045D" w:rsidP="002D2DD9">
      <w:pPr>
        <w:autoSpaceDE w:val="0"/>
        <w:autoSpaceDN w:val="0"/>
        <w:adjustRightInd w:val="0"/>
        <w:spacing w:after="120"/>
        <w:jc w:val="both"/>
        <w:rPr>
          <w:rFonts w:ascii="Book Antiqua" w:hAnsi="Book Antiqua"/>
          <w:lang w:val="en-US"/>
        </w:rPr>
      </w:pPr>
      <w:r w:rsidRPr="003971F1">
        <w:rPr>
          <w:rFonts w:ascii="Book Antiqua" w:hAnsi="Book Antiqua"/>
          <w:lang w:val="en-US"/>
        </w:rPr>
        <w:t>We conducted a</w:t>
      </w:r>
      <w:r w:rsidR="00BB4493">
        <w:rPr>
          <w:rFonts w:ascii="Book Antiqua" w:hAnsi="Book Antiqua"/>
          <w:lang w:val="en-US"/>
        </w:rPr>
        <w:t xml:space="preserve">n explorative </w:t>
      </w:r>
      <w:r w:rsidRPr="003971F1">
        <w:rPr>
          <w:rFonts w:ascii="Book Antiqua" w:hAnsi="Book Antiqua"/>
          <w:lang w:val="en-US"/>
        </w:rPr>
        <w:t xml:space="preserve">analysis of </w:t>
      </w:r>
      <w:r w:rsidR="00BB4493">
        <w:rPr>
          <w:rFonts w:ascii="Book Antiqua" w:hAnsi="Book Antiqua"/>
          <w:lang w:val="en-US"/>
        </w:rPr>
        <w:t>the environmental related-disclosure</w:t>
      </w:r>
      <w:r w:rsidRPr="003971F1">
        <w:rPr>
          <w:rFonts w:ascii="Book Antiqua" w:hAnsi="Book Antiqua"/>
          <w:lang w:val="en-US"/>
        </w:rPr>
        <w:t xml:space="preserve"> over </w:t>
      </w:r>
      <w:r w:rsidR="00BB4493">
        <w:rPr>
          <w:rFonts w:ascii="Book Antiqua" w:hAnsi="Book Antiqua"/>
          <w:lang w:val="en-US"/>
        </w:rPr>
        <w:t>two</w:t>
      </w:r>
      <w:r w:rsidRPr="003971F1">
        <w:rPr>
          <w:rFonts w:ascii="Book Antiqua" w:hAnsi="Book Antiqua"/>
          <w:lang w:val="en-US"/>
        </w:rPr>
        <w:t xml:space="preserve"> listed companies </w:t>
      </w:r>
      <w:r w:rsidR="00BB4493">
        <w:rPr>
          <w:rFonts w:ascii="Book Antiqua" w:hAnsi="Book Antiqua"/>
          <w:lang w:val="en-US"/>
        </w:rPr>
        <w:t>in</w:t>
      </w:r>
      <w:r w:rsidR="009C7F38" w:rsidRPr="003971F1">
        <w:rPr>
          <w:rFonts w:ascii="Book Antiqua" w:hAnsi="Book Antiqua"/>
          <w:lang w:val="en-US"/>
        </w:rPr>
        <w:t xml:space="preserve"> Italy</w:t>
      </w:r>
      <w:r w:rsidRPr="003971F1">
        <w:rPr>
          <w:rFonts w:ascii="Book Antiqua" w:hAnsi="Book Antiqua"/>
          <w:lang w:val="en-US"/>
        </w:rPr>
        <w:t xml:space="preserve">. </w:t>
      </w:r>
      <w:r w:rsidR="00BB4493">
        <w:rPr>
          <w:rFonts w:ascii="Book Antiqua" w:hAnsi="Book Antiqua"/>
          <w:lang w:val="en-US"/>
        </w:rPr>
        <w:t>This country</w:t>
      </w:r>
      <w:r w:rsidR="002342C4" w:rsidRPr="003971F1">
        <w:rPr>
          <w:rFonts w:ascii="Book Antiqua" w:hAnsi="Book Antiqua"/>
          <w:lang w:val="en-US"/>
        </w:rPr>
        <w:t xml:space="preserve"> can be circumscribed around </w:t>
      </w:r>
      <w:r w:rsidR="00BB4493">
        <w:rPr>
          <w:rFonts w:ascii="Book Antiqua" w:hAnsi="Book Antiqua"/>
          <w:lang w:val="en-US"/>
        </w:rPr>
        <w:t>the</w:t>
      </w:r>
      <w:r w:rsidR="002342C4" w:rsidRPr="003971F1">
        <w:rPr>
          <w:rFonts w:ascii="Book Antiqua" w:hAnsi="Book Antiqua"/>
          <w:lang w:val="en-US"/>
        </w:rPr>
        <w:t xml:space="preserve"> “implicit CSR approach” </w:t>
      </w:r>
      <w:r w:rsidR="002342C4" w:rsidRPr="003971F1">
        <w:rPr>
          <w:rFonts w:ascii="Book Antiqua" w:hAnsi="Book Antiqua"/>
          <w:lang w:val="en-US"/>
        </w:rPr>
        <w:fldChar w:fldCharType="begin" w:fldLock="1"/>
      </w:r>
      <w:r w:rsidR="00EA11E2">
        <w:rPr>
          <w:rFonts w:ascii="Book Antiqua" w:hAnsi="Book Antiqua"/>
          <w:lang w:val="en-US"/>
        </w:rPr>
        <w:instrText>ADDIN CSL_CITATION {"citationItems":[{"id":"ITEM-1","itemData":{"author":[{"dropping-particle":"","family":"Matten","given":"Dirk","non-dropping-particle":"","parse-names":false,"suffix":""},{"dropping-particle":"","family":"Moon","given":"Jeremy","non-dropping-particle":"","parse-names":false,"suffix":""},{"dropping-particle":"","family":"Matten","given":"Dirk","non-dropping-particle":"","parse-names":false,"suffix":""},{"dropping-particle":"","family":"Moon","given":"Jeremy","non-dropping-particle":"","parse-names":false,"suffix":""}],"container-title":"The Academy of Management Review","id":"ITEM-1","issue":"2","issued":{"date-parts":[["2008"]]},"page":"404-424","title":"\" Implicit \" and \" Explicit \" CSR : A Conceptual Framework for a Comparative Understanding of Corporate Social Responsibility","type":"article-journal","volume":"33"},"uris":["http://www.mendeley.com/documents/?uuid=e9c23833-38dd-4bf0-8998-bf36da03ae02"]}],"mendeley":{"formattedCitation":"(Matten &lt;i&gt;et al.&lt;/i&gt;, 2008)","plainTextFormattedCitation":"(Matten et al., 2008)","previouslyFormattedCitation":"(Matten &lt;i&gt;et al.&lt;/i&gt;, 2008)"},"properties":{"noteIndex":0},"schema":"https://github.com/citation-style-language/schema/raw/master/csl-citation.json"}</w:instrText>
      </w:r>
      <w:r w:rsidR="002342C4" w:rsidRPr="003971F1">
        <w:rPr>
          <w:rFonts w:ascii="Book Antiqua" w:hAnsi="Book Antiqua"/>
          <w:lang w:val="en-US"/>
        </w:rPr>
        <w:fldChar w:fldCharType="separate"/>
      </w:r>
      <w:r w:rsidR="002342C4" w:rsidRPr="003971F1">
        <w:rPr>
          <w:rFonts w:ascii="Book Antiqua" w:hAnsi="Book Antiqua"/>
          <w:noProof/>
          <w:lang w:val="en-US"/>
        </w:rPr>
        <w:t xml:space="preserve">(Matten </w:t>
      </w:r>
      <w:r w:rsidR="002342C4" w:rsidRPr="003971F1">
        <w:rPr>
          <w:rFonts w:ascii="Book Antiqua" w:hAnsi="Book Antiqua"/>
          <w:i/>
          <w:noProof/>
          <w:lang w:val="en-US"/>
        </w:rPr>
        <w:t>et al.</w:t>
      </w:r>
      <w:r w:rsidR="002342C4" w:rsidRPr="003971F1">
        <w:rPr>
          <w:rFonts w:ascii="Book Antiqua" w:hAnsi="Book Antiqua"/>
          <w:noProof/>
          <w:lang w:val="en-US"/>
        </w:rPr>
        <w:t>, 2008)</w:t>
      </w:r>
      <w:r w:rsidR="002342C4" w:rsidRPr="003971F1">
        <w:rPr>
          <w:rFonts w:ascii="Book Antiqua" w:hAnsi="Book Antiqua"/>
          <w:lang w:val="en-US"/>
        </w:rPr>
        <w:fldChar w:fldCharType="end"/>
      </w:r>
      <w:r w:rsidR="002342C4" w:rsidRPr="003971F1">
        <w:rPr>
          <w:rFonts w:ascii="Book Antiqua" w:hAnsi="Book Antiqua"/>
          <w:lang w:val="en-US"/>
        </w:rPr>
        <w:t xml:space="preserve">. According to Matten and Moon (2008) </w:t>
      </w:r>
      <w:r w:rsidR="00012BA6" w:rsidRPr="003971F1">
        <w:rPr>
          <w:rFonts w:ascii="Book Antiqua" w:hAnsi="Book Antiqua"/>
          <w:lang w:val="en-US"/>
        </w:rPr>
        <w:t xml:space="preserve">European countries </w:t>
      </w:r>
      <w:r w:rsidR="002342C4" w:rsidRPr="003971F1">
        <w:rPr>
          <w:rFonts w:ascii="Book Antiqua" w:hAnsi="Book Antiqua"/>
          <w:lang w:val="en-US"/>
        </w:rPr>
        <w:t xml:space="preserve">are keen to deliberate CSR decisions in response to or as reflection of codified norms and societal rules of the institutional environment. </w:t>
      </w:r>
      <w:r w:rsidR="00012BA6" w:rsidRPr="003971F1">
        <w:rPr>
          <w:rFonts w:ascii="Book Antiqua" w:hAnsi="Book Antiqua"/>
          <w:lang w:val="en-US"/>
        </w:rPr>
        <w:t xml:space="preserve">Formal and informal institutions nudge “requirements for corporations to address stakeholder issues and that define proper obligations of corporate actors in collective rather than individual terms” (p. 409). As a matter of fact, the European Union </w:t>
      </w:r>
      <w:r w:rsidR="00741244" w:rsidRPr="003971F1">
        <w:rPr>
          <w:rFonts w:ascii="Book Antiqua" w:hAnsi="Book Antiqua"/>
          <w:lang w:val="en-US"/>
        </w:rPr>
        <w:t>and national governments guide Europeans to safeguard the natural environment</w:t>
      </w:r>
      <w:r w:rsidR="00874C39" w:rsidRPr="003971F1">
        <w:rPr>
          <w:rFonts w:ascii="Book Antiqua" w:hAnsi="Book Antiqua"/>
          <w:lang w:val="en-US"/>
        </w:rPr>
        <w:t xml:space="preserve"> and natural resources</w:t>
      </w:r>
      <w:r w:rsidR="00741244" w:rsidRPr="003971F1">
        <w:rPr>
          <w:rFonts w:ascii="Book Antiqua" w:hAnsi="Book Antiqua"/>
          <w:lang w:val="en-US"/>
        </w:rPr>
        <w:t xml:space="preserve">, to enhance resource-efficient, green and low-carbon economy and prevent </w:t>
      </w:r>
      <w:r w:rsidR="00874C39" w:rsidRPr="003971F1">
        <w:rPr>
          <w:rFonts w:ascii="Book Antiqua" w:hAnsi="Book Antiqua"/>
          <w:lang w:val="en-US"/>
        </w:rPr>
        <w:t xml:space="preserve">citizen’s health and wellbeing against </w:t>
      </w:r>
      <w:r w:rsidR="00741244" w:rsidRPr="003971F1">
        <w:rPr>
          <w:rFonts w:ascii="Book Antiqua" w:hAnsi="Book Antiqua"/>
          <w:lang w:val="en-US"/>
        </w:rPr>
        <w:t>environment-related risks</w:t>
      </w:r>
      <w:r w:rsidR="00874C39" w:rsidRPr="003971F1">
        <w:rPr>
          <w:rFonts w:ascii="Book Antiqua" w:hAnsi="Book Antiqua"/>
          <w:lang w:val="en-US"/>
        </w:rPr>
        <w:t xml:space="preserve">. </w:t>
      </w:r>
      <w:r w:rsidR="005936B6" w:rsidRPr="003971F1">
        <w:rPr>
          <w:rFonts w:ascii="Book Antiqua" w:hAnsi="Book Antiqua"/>
          <w:lang w:val="en-US"/>
        </w:rPr>
        <w:t xml:space="preserve">To cite few examples, we can mention the EU waste management law (Directive 2008/98/EC on waste), the energy efficiency directive to meet “Energy efficiency for the 2020 goal” (Directive 2012/27/EU), and the Paris Agreement </w:t>
      </w:r>
      <w:r w:rsidR="00271B8C" w:rsidRPr="003971F1">
        <w:rPr>
          <w:rFonts w:ascii="Book Antiqua" w:hAnsi="Book Antiqua"/>
          <w:lang w:val="en-US"/>
        </w:rPr>
        <w:t>which strives to keep the global temperature below 2°C compared to pre-industrial levels (European Commission, 2019). Thus, we can concur that t</w:t>
      </w:r>
      <w:r w:rsidR="00874C39" w:rsidRPr="003971F1">
        <w:rPr>
          <w:rFonts w:ascii="Book Antiqua" w:hAnsi="Book Antiqua"/>
          <w:lang w:val="en-US"/>
        </w:rPr>
        <w:t>his logic firmly embraces the European institutional frameworks outlined by Matten and Moon (2008) which acknowledge coordinated approaches to economic and social.</w:t>
      </w:r>
    </w:p>
    <w:p w14:paraId="5DE7B9C6" w14:textId="59BB308F" w:rsidR="00971866" w:rsidRPr="002B57BB" w:rsidRDefault="00971866" w:rsidP="006E21A6">
      <w:pPr>
        <w:pStyle w:val="Titolo2"/>
        <w:numPr>
          <w:ilvl w:val="1"/>
          <w:numId w:val="11"/>
        </w:numPr>
      </w:pPr>
      <w:r w:rsidRPr="002B57BB">
        <w:t xml:space="preserve">Method of investigation </w:t>
      </w:r>
    </w:p>
    <w:p w14:paraId="1222A628" w14:textId="5F3C9541" w:rsidR="009E08FF" w:rsidRPr="003971F1" w:rsidRDefault="00BB4493" w:rsidP="009E08FF">
      <w:pPr>
        <w:autoSpaceDE w:val="0"/>
        <w:autoSpaceDN w:val="0"/>
        <w:adjustRightInd w:val="0"/>
        <w:spacing w:after="120"/>
        <w:jc w:val="both"/>
        <w:rPr>
          <w:rFonts w:ascii="Book Antiqua" w:hAnsi="Book Antiqua"/>
          <w:lang w:val="en-US"/>
        </w:rPr>
      </w:pPr>
      <w:r>
        <w:rPr>
          <w:rFonts w:ascii="Book Antiqua" w:hAnsi="Book Antiqua"/>
          <w:lang w:val="en-US"/>
        </w:rPr>
        <w:t>A</w:t>
      </w:r>
      <w:r w:rsidR="00532D6E" w:rsidRPr="003971F1">
        <w:rPr>
          <w:rFonts w:ascii="Book Antiqua" w:hAnsi="Book Antiqua"/>
          <w:lang w:val="en-US"/>
        </w:rPr>
        <w:t xml:space="preserve"> purposive sampling strategy was adopted to select the cases for study</w:t>
      </w:r>
      <w:r w:rsidR="009E08FF" w:rsidRPr="003971F1">
        <w:rPr>
          <w:rFonts w:ascii="Book Antiqua" w:hAnsi="Book Antiqua"/>
          <w:lang w:val="en-US"/>
        </w:rPr>
        <w:t>. P</w:t>
      </w:r>
      <w:r w:rsidR="00971866" w:rsidRPr="003971F1">
        <w:rPr>
          <w:rFonts w:ascii="Book Antiqua" w:hAnsi="Book Antiqua"/>
          <w:lang w:val="en-US"/>
        </w:rPr>
        <w:t>urposive sampling informs</w:t>
      </w:r>
      <w:r w:rsidR="00532D6E" w:rsidRPr="003971F1">
        <w:rPr>
          <w:rFonts w:ascii="Book Antiqua" w:hAnsi="Book Antiqua"/>
          <w:lang w:val="en-US"/>
        </w:rPr>
        <w:t xml:space="preserve"> </w:t>
      </w:r>
      <w:r w:rsidR="00971866" w:rsidRPr="003971F1">
        <w:rPr>
          <w:rFonts w:ascii="Book Antiqua" w:hAnsi="Book Antiqua"/>
          <w:lang w:val="en-US"/>
        </w:rPr>
        <w:t>a thorough understanding of the phenomenon under investigation,</w:t>
      </w:r>
      <w:r w:rsidR="00532D6E" w:rsidRPr="003971F1">
        <w:rPr>
          <w:rFonts w:ascii="Book Antiqua" w:hAnsi="Book Antiqua"/>
          <w:lang w:val="en-US"/>
        </w:rPr>
        <w:t xml:space="preserve"> thus allowing an in-depth analysis </w:t>
      </w:r>
      <w:r w:rsidR="00971866" w:rsidRPr="003971F1">
        <w:rPr>
          <w:rFonts w:ascii="Book Antiqua" w:hAnsi="Book Antiqua"/>
          <w:lang w:val="en-US"/>
        </w:rPr>
        <w:t xml:space="preserve">to </w:t>
      </w:r>
      <w:r w:rsidR="009E08FF" w:rsidRPr="003971F1">
        <w:rPr>
          <w:rFonts w:ascii="Book Antiqua" w:hAnsi="Book Antiqua"/>
          <w:lang w:val="en-US"/>
        </w:rPr>
        <w:t xml:space="preserve">examine the theory and </w:t>
      </w:r>
      <w:r w:rsidR="00971866" w:rsidRPr="003971F1">
        <w:rPr>
          <w:rFonts w:ascii="Book Antiqua" w:hAnsi="Book Antiqua"/>
          <w:lang w:val="en-US"/>
        </w:rPr>
        <w:t xml:space="preserve">suggest conceptual implications </w:t>
      </w:r>
      <w:r w:rsidR="00971866" w:rsidRPr="00EA11E2">
        <w:rPr>
          <w:rFonts w:ascii="Book Antiqua" w:hAnsi="Book Antiqua"/>
          <w:lang w:val="en-US"/>
        </w:rPr>
        <w:t xml:space="preserve">accordingly” </w:t>
      </w:r>
      <w:r w:rsidR="00EA11E2" w:rsidRPr="00EA11E2">
        <w:rPr>
          <w:rFonts w:ascii="Book Antiqua" w:hAnsi="Book Antiqua"/>
          <w:lang w:val="en-US"/>
        </w:rPr>
        <w:fldChar w:fldCharType="begin" w:fldLock="1"/>
      </w:r>
      <w:r w:rsidR="00EA11E2">
        <w:rPr>
          <w:rFonts w:ascii="Book Antiqua" w:hAnsi="Book Antiqua"/>
          <w:lang w:val="en-US"/>
        </w:rPr>
        <w:instrText>ADDIN CSL_CITATION {"citationItems":[{"id":"ITEM-1","itemData":{"author":[{"dropping-particle":"","family":"Creswell","given":"J W","non-dropping-particle":"","parse-names":false,"suffix":""}],"id":"ITEM-1","issued":{"date-parts":[["2008"]]},"title":"Research design: Qualitative, quantitative, and mixed methods approach.[Electronic version]","type":"article"},"uris":["http://www.mendeley.com/documents/?uuid=1ac4136e-0bff-43de-ac66-99fd8419080b"]},{"id":"ITEM-2","itemData":{"ISBN":"0803937792","author":[{"dropping-particle":"","family":"Patton","given":"Michael Quinn","non-dropping-particle":"","parse-names":false,"suffix":""}],"id":"ITEM-2","issued":{"date-parts":[["1990"]]},"publisher":"SAGE Publications, inc","title":"Qualitative evaluation and research methods","type":"book"},"uris":["http://www.mendeley.com/documents/?uuid=fc8c1475-1af1-4b86-b3e4-49a139f90611"]},{"id":"ITEM-3","itemData":{"ISBN":"1526422026","author":[{"dropping-particle":"","family":"Mason","given":"Jennifer","non-dropping-particle":"","parse-names":false,"suffix":""}],"id":"ITEM-3","issued":{"date-parts":[["2006"]]},"publisher":"Sage","title":"Qualitative researching","type":"book"},"uris":["http://www.mendeley.com/documents/?uuid=464dcfb4-12ab-4efa-b874-4c817fe4885d"]}],"mendeley":{"formattedCitation":"(Patton, 1990; Mason, 2006; Creswell, 2008)","plainTextFormattedCitation":"(Patton, 1990; Mason, 2006; Creswell, 2008)","previouslyFormattedCitation":"(Patton, 1990; Mason, 2006; Creswell, 2008)"},"properties":{"noteIndex":0},"schema":"https://github.com/citation-style-language/schema/raw/master/csl-citation.json"}</w:instrText>
      </w:r>
      <w:r w:rsidR="00EA11E2" w:rsidRPr="00EA11E2">
        <w:rPr>
          <w:rFonts w:ascii="Book Antiqua" w:hAnsi="Book Antiqua"/>
          <w:lang w:val="en-US"/>
        </w:rPr>
        <w:fldChar w:fldCharType="separate"/>
      </w:r>
      <w:r w:rsidR="00EA11E2" w:rsidRPr="00EA11E2">
        <w:rPr>
          <w:rFonts w:ascii="Book Antiqua" w:hAnsi="Book Antiqua"/>
          <w:noProof/>
          <w:lang w:val="en-US"/>
        </w:rPr>
        <w:t>(Patton, 1990; Mason, 2006; Creswell, 2008)</w:t>
      </w:r>
      <w:r w:rsidR="00EA11E2" w:rsidRPr="00EA11E2">
        <w:rPr>
          <w:rFonts w:ascii="Book Antiqua" w:hAnsi="Book Antiqua"/>
          <w:lang w:val="en-US"/>
        </w:rPr>
        <w:fldChar w:fldCharType="end"/>
      </w:r>
      <w:r w:rsidR="00EA11E2" w:rsidRPr="00EA11E2">
        <w:rPr>
          <w:rFonts w:ascii="Book Antiqua" w:hAnsi="Book Antiqua"/>
          <w:lang w:val="en-US"/>
        </w:rPr>
        <w:t xml:space="preserve">. </w:t>
      </w:r>
      <w:r w:rsidR="009E08FF" w:rsidRPr="00EA11E2">
        <w:rPr>
          <w:rFonts w:ascii="Book Antiqua" w:hAnsi="Book Antiqua"/>
          <w:lang w:val="en-US"/>
        </w:rPr>
        <w:t>This rationale can be the</w:t>
      </w:r>
      <w:r w:rsidR="009E08FF" w:rsidRPr="003971F1">
        <w:rPr>
          <w:rFonts w:ascii="Book Antiqua" w:hAnsi="Book Antiqua"/>
          <w:lang w:val="en-US"/>
        </w:rPr>
        <w:t xml:space="preserve"> justification here, as the objective of the qualitative content analysis is to draw the stakeholder-nature-relation</w:t>
      </w:r>
      <w:r w:rsidR="00176FB6">
        <w:rPr>
          <w:rFonts w:ascii="Book Antiqua" w:hAnsi="Book Antiqua"/>
          <w:lang w:val="en-US"/>
        </w:rPr>
        <w:t>s</w:t>
      </w:r>
      <w:r w:rsidR="009E08FF" w:rsidRPr="003971F1">
        <w:rPr>
          <w:rFonts w:ascii="Book Antiqua" w:hAnsi="Book Antiqua"/>
          <w:lang w:val="en-US"/>
        </w:rPr>
        <w:t xml:space="preserve"> in different context on virtuous companies with high an apparent high commitment to sustainability. Therefore, we selected the listed companies which were evaluated by the 2019 Global 100 Most Sustainable Corporations in the World index. </w:t>
      </w:r>
      <w:r w:rsidR="00137422" w:rsidRPr="003971F1">
        <w:rPr>
          <w:rFonts w:ascii="Book Antiqua" w:hAnsi="Book Antiqua"/>
          <w:lang w:val="en-US"/>
        </w:rPr>
        <w:t>The rank</w:t>
      </w:r>
      <w:r w:rsidR="009E08FF" w:rsidRPr="003971F1">
        <w:rPr>
          <w:rFonts w:ascii="Book Antiqua" w:hAnsi="Book Antiqua"/>
          <w:lang w:val="en-US"/>
        </w:rPr>
        <w:t xml:space="preserve"> consider</w:t>
      </w:r>
      <w:r w:rsidR="00137422" w:rsidRPr="003971F1">
        <w:rPr>
          <w:rFonts w:ascii="Book Antiqua" w:hAnsi="Book Antiqua"/>
          <w:lang w:val="en-US"/>
        </w:rPr>
        <w:t>s</w:t>
      </w:r>
      <w:r w:rsidR="009E08FF" w:rsidRPr="003971F1">
        <w:rPr>
          <w:rFonts w:ascii="Book Antiqua" w:hAnsi="Book Antiqua"/>
          <w:lang w:val="en-US"/>
        </w:rPr>
        <w:t xml:space="preserve"> publicly-listed companies from all over the world with gross revenues of at least 1 billion US $, evaluated preliminarily based on four screens (sustainability reporting, financial soundness, category of products sold and financial sanctions incurred) and, subsequently, on an additional 21 </w:t>
      </w:r>
      <w:r w:rsidR="009E08FF" w:rsidRPr="003971F1">
        <w:rPr>
          <w:rFonts w:ascii="Book Antiqua" w:hAnsi="Book Antiqua"/>
          <w:lang w:val="en-US"/>
        </w:rPr>
        <w:lastRenderedPageBreak/>
        <w:t>indicators, specific to each industry, pertaining to the management of natural resources, employee management, clean revenues and supplier performance.</w:t>
      </w:r>
      <w:r w:rsidR="00F6284A">
        <w:rPr>
          <w:rFonts w:ascii="Book Antiqua" w:hAnsi="Book Antiqua"/>
          <w:lang w:val="en-US"/>
        </w:rPr>
        <w:t xml:space="preserve"> </w:t>
      </w:r>
    </w:p>
    <w:p w14:paraId="564D0972" w14:textId="0A626522" w:rsidR="009E08FF" w:rsidRPr="00EA11E2" w:rsidRDefault="00F6284A" w:rsidP="009E08FF">
      <w:pPr>
        <w:autoSpaceDE w:val="0"/>
        <w:autoSpaceDN w:val="0"/>
        <w:adjustRightInd w:val="0"/>
        <w:spacing w:after="120"/>
        <w:jc w:val="both"/>
        <w:rPr>
          <w:rFonts w:ascii="Book Antiqua" w:hAnsi="Book Antiqua"/>
          <w:highlight w:val="yellow"/>
          <w:lang w:val="en-US"/>
        </w:rPr>
      </w:pPr>
      <w:r>
        <w:rPr>
          <w:rFonts w:ascii="Book Antiqua" w:hAnsi="Book Antiqua"/>
          <w:lang w:val="en-US"/>
        </w:rPr>
        <w:t>The index includes</w:t>
      </w:r>
      <w:r w:rsidR="00137422" w:rsidRPr="00EA11E2">
        <w:rPr>
          <w:rFonts w:ascii="Book Antiqua" w:hAnsi="Book Antiqua"/>
          <w:lang w:val="en-US"/>
        </w:rPr>
        <w:t xml:space="preserve"> </w:t>
      </w:r>
      <w:r w:rsidRPr="003971F1">
        <w:rPr>
          <w:rFonts w:ascii="Book Antiqua" w:hAnsi="Book Antiqua"/>
          <w:lang w:val="en-US"/>
        </w:rPr>
        <w:t>two Italian companies</w:t>
      </w:r>
      <w:r>
        <w:rPr>
          <w:rFonts w:ascii="Book Antiqua" w:hAnsi="Book Antiqua"/>
          <w:lang w:val="en-US"/>
        </w:rPr>
        <w:t>: ERG and Intesa San Paolo. T</w:t>
      </w:r>
      <w:r w:rsidR="009E08FF" w:rsidRPr="003971F1">
        <w:rPr>
          <w:rFonts w:ascii="Book Antiqua" w:hAnsi="Book Antiqua"/>
          <w:lang w:val="en-US"/>
        </w:rPr>
        <w:t>he</w:t>
      </w:r>
      <w:r>
        <w:rPr>
          <w:rFonts w:ascii="Book Antiqua" w:hAnsi="Book Antiqua"/>
          <w:lang w:val="en-US"/>
        </w:rPr>
        <w:t>se companies</w:t>
      </w:r>
      <w:r w:rsidR="009E08FF" w:rsidRPr="003971F1">
        <w:rPr>
          <w:rFonts w:ascii="Book Antiqua" w:hAnsi="Book Antiqua"/>
          <w:lang w:val="en-US"/>
        </w:rPr>
        <w:t xml:space="preserve"> </w:t>
      </w:r>
      <w:r>
        <w:rPr>
          <w:rFonts w:ascii="Book Antiqua" w:hAnsi="Book Antiqua"/>
          <w:lang w:val="en-US"/>
        </w:rPr>
        <w:t xml:space="preserve">belong to different sectors and </w:t>
      </w:r>
      <w:r w:rsidR="009E08FF" w:rsidRPr="003971F1">
        <w:rPr>
          <w:rFonts w:ascii="Book Antiqua" w:hAnsi="Book Antiqua"/>
          <w:lang w:val="en-US"/>
        </w:rPr>
        <w:t>exhibit heterogeneous levels of experience in dealing with sustainability, thus environmental activities, related stakeholder engagement practices</w:t>
      </w:r>
      <w:r>
        <w:rPr>
          <w:rFonts w:ascii="Book Antiqua" w:hAnsi="Book Antiqua"/>
          <w:lang w:val="en-US"/>
        </w:rPr>
        <w:t xml:space="preserve"> </w:t>
      </w:r>
      <w:r w:rsidR="009E08FF" w:rsidRPr="003971F1">
        <w:rPr>
          <w:rFonts w:ascii="Book Antiqua" w:hAnsi="Book Antiqua"/>
          <w:lang w:val="en-US"/>
        </w:rPr>
        <w:t xml:space="preserve">can </w:t>
      </w:r>
      <w:r>
        <w:rPr>
          <w:rFonts w:ascii="Book Antiqua" w:hAnsi="Book Antiqua"/>
          <w:lang w:val="en-US"/>
        </w:rPr>
        <w:t xml:space="preserve">be </w:t>
      </w:r>
      <w:r w:rsidR="009E08FF" w:rsidRPr="003971F1">
        <w:rPr>
          <w:rFonts w:ascii="Book Antiqua" w:hAnsi="Book Antiqua"/>
          <w:lang w:val="en-US"/>
        </w:rPr>
        <w:t>shape</w:t>
      </w:r>
      <w:r>
        <w:rPr>
          <w:rFonts w:ascii="Book Antiqua" w:hAnsi="Book Antiqua"/>
          <w:lang w:val="en-US"/>
        </w:rPr>
        <w:t xml:space="preserve">d accordingly. This makes our case as relevant for a deepen investigations. </w:t>
      </w:r>
      <w:r w:rsidRPr="00EA11E2">
        <w:rPr>
          <w:rFonts w:ascii="Book Antiqua" w:hAnsi="Book Antiqua"/>
          <w:lang w:val="en-US"/>
        </w:rPr>
        <w:fldChar w:fldCharType="begin" w:fldLock="1"/>
      </w:r>
      <w:r>
        <w:rPr>
          <w:rFonts w:ascii="Book Antiqua" w:hAnsi="Book Antiqua"/>
          <w:lang w:val="en-US"/>
        </w:rPr>
        <w:instrText>ADDIN CSL_CITATION {"citationItems":[{"id":"ITEM-1","itemData":{"DOI":"10.5465/amj.2007.24160888","ISSN":"0001-4273","abstract":"This article discusses the research strategy of theory building from cases, particularly multiple cases. Such a strategy involves using one or more cases to create theoretical constructs, propositions, and/or midrange theory from case-based, empirical evidence. Replication logic means that each case serves as a distinct experiment that stands on its own merits as an analytic unit. The frequent use of case studies as a research strategy has given rise to some challenges that can be mitigated by the use of very precise wording and thoughtful research design.","author":[{"dropping-particle":"","family":"Eisenhardt","given":"Kathleen M","non-dropping-particle":"","parse-names":false,"suffix":""},{"dropping-particle":"","family":"Graebner","given":"Melissa E","non-dropping-particle":"","parse-names":false,"suffix":""}],"container-title":"Academy of Management Journal","id":"ITEM-1","issue":"1","issued":{"date-parts":[["2007","2","1"]]},"note":"doi: 10.5465/amj.2007.24160888","page":"25-32","publisher":"Academy of Management","title":"Theory Building From Cases: Opportunities And Challenges","type":"article-journal","volume":"50"},"uris":["http://www.mendeley.com/documents/?uuid=fd6e325b-d1d5-4779-be04-a2210b8784b8"]}],"mendeley":{"formattedCitation":"(Eisenhardt and Graebner, 2007)","plainTextFormattedCitation":"(Eisenhardt and Graebner, 2007)","previouslyFormattedCitation":"(Eisenhardt and Graebner, 2007)"},"properties":{"noteIndex":0},"schema":"https://github.com/citation-style-language/schema/raw/master/csl-citation.json"}</w:instrText>
      </w:r>
      <w:r w:rsidRPr="00EA11E2">
        <w:rPr>
          <w:rFonts w:ascii="Book Antiqua" w:hAnsi="Book Antiqua"/>
          <w:lang w:val="en-US"/>
        </w:rPr>
        <w:fldChar w:fldCharType="separate"/>
      </w:r>
      <w:r w:rsidRPr="00EA11E2">
        <w:rPr>
          <w:rFonts w:ascii="Book Antiqua" w:hAnsi="Book Antiqua"/>
          <w:noProof/>
          <w:lang w:val="en-US"/>
        </w:rPr>
        <w:t>(Eisenhardt and Graebner, 2007)</w:t>
      </w:r>
      <w:r w:rsidRPr="00EA11E2">
        <w:rPr>
          <w:rFonts w:ascii="Book Antiqua" w:hAnsi="Book Antiqua"/>
          <w:lang w:val="en-US"/>
        </w:rPr>
        <w:fldChar w:fldCharType="end"/>
      </w:r>
      <w:r w:rsidRPr="00EA11E2">
        <w:rPr>
          <w:rFonts w:ascii="Book Antiqua" w:hAnsi="Book Antiqua"/>
          <w:lang w:val="en-US"/>
        </w:rPr>
        <w:t>.</w:t>
      </w:r>
    </w:p>
    <w:p w14:paraId="6E02F046" w14:textId="2FED0D87" w:rsidR="008F47CA" w:rsidRPr="003971F1" w:rsidRDefault="00B07075" w:rsidP="008F47CA">
      <w:pPr>
        <w:autoSpaceDE w:val="0"/>
        <w:autoSpaceDN w:val="0"/>
        <w:adjustRightInd w:val="0"/>
        <w:spacing w:after="120"/>
        <w:jc w:val="both"/>
        <w:rPr>
          <w:rFonts w:ascii="Book Antiqua" w:hAnsi="Book Antiqua"/>
          <w:lang w:val="en-US"/>
        </w:rPr>
      </w:pPr>
      <w:r w:rsidRPr="003971F1">
        <w:rPr>
          <w:rFonts w:ascii="Book Antiqua" w:hAnsi="Book Antiqua"/>
          <w:lang w:val="en-US"/>
        </w:rPr>
        <w:t xml:space="preserve">Our </w:t>
      </w:r>
      <w:r w:rsidR="002D0C1F" w:rsidRPr="003971F1">
        <w:rPr>
          <w:rFonts w:ascii="Book Antiqua" w:hAnsi="Book Antiqua"/>
          <w:lang w:val="en-US"/>
        </w:rPr>
        <w:t xml:space="preserve">analysis seeks </w:t>
      </w:r>
      <w:r w:rsidRPr="003971F1">
        <w:rPr>
          <w:rFonts w:ascii="Book Antiqua" w:hAnsi="Book Antiqua"/>
          <w:lang w:val="en-US"/>
        </w:rPr>
        <w:t xml:space="preserve">to look closely at </w:t>
      </w:r>
      <w:r w:rsidR="002D0C1F" w:rsidRPr="003971F1">
        <w:rPr>
          <w:rFonts w:ascii="Book Antiqua" w:hAnsi="Book Antiqua"/>
          <w:lang w:val="en-US"/>
        </w:rPr>
        <w:t xml:space="preserve">the environmental </w:t>
      </w:r>
      <w:r w:rsidRPr="003971F1">
        <w:rPr>
          <w:rFonts w:ascii="Book Antiqua" w:hAnsi="Book Antiqua"/>
          <w:lang w:val="en-US"/>
        </w:rPr>
        <w:t>activities officially communicated</w:t>
      </w:r>
      <w:r w:rsidR="00176FB6">
        <w:rPr>
          <w:rFonts w:ascii="Book Antiqua" w:hAnsi="Book Antiqua"/>
          <w:lang w:val="en-US"/>
        </w:rPr>
        <w:t xml:space="preserve"> from companies to stakeholders. </w:t>
      </w:r>
    </w:p>
    <w:p w14:paraId="0A179BD8" w14:textId="5202528F" w:rsidR="00DA699C" w:rsidRPr="003971F1" w:rsidRDefault="002D0C1F" w:rsidP="008F47CA">
      <w:pPr>
        <w:autoSpaceDE w:val="0"/>
        <w:autoSpaceDN w:val="0"/>
        <w:adjustRightInd w:val="0"/>
        <w:spacing w:after="120"/>
        <w:jc w:val="both"/>
        <w:rPr>
          <w:rFonts w:ascii="Book Antiqua" w:hAnsi="Book Antiqua"/>
          <w:lang w:val="en-US"/>
        </w:rPr>
      </w:pPr>
      <w:r w:rsidRPr="003971F1">
        <w:rPr>
          <w:rFonts w:ascii="Book Antiqua" w:hAnsi="Book Antiqua"/>
          <w:lang w:val="en-US"/>
        </w:rPr>
        <w:t>Keeping with th</w:t>
      </w:r>
      <w:r w:rsidR="00432623">
        <w:rPr>
          <w:rFonts w:ascii="Book Antiqua" w:hAnsi="Book Antiqua"/>
          <w:lang w:val="en-US"/>
        </w:rPr>
        <w:t>is</w:t>
      </w:r>
      <w:r w:rsidRPr="003971F1">
        <w:rPr>
          <w:rFonts w:ascii="Book Antiqua" w:hAnsi="Book Antiqua"/>
          <w:lang w:val="en-US"/>
        </w:rPr>
        <w:t xml:space="preserve"> objective into practice, we focused on the CSR sustainability reports,</w:t>
      </w:r>
      <w:r w:rsidR="00DA699C" w:rsidRPr="003971F1">
        <w:rPr>
          <w:rFonts w:ascii="Book Antiqua" w:hAnsi="Book Antiqua"/>
          <w:lang w:val="en-US"/>
        </w:rPr>
        <w:t xml:space="preserve"> official web pages,</w:t>
      </w:r>
      <w:r w:rsidRPr="003971F1">
        <w:rPr>
          <w:rFonts w:ascii="Book Antiqua" w:hAnsi="Book Antiqua"/>
          <w:lang w:val="en-US"/>
        </w:rPr>
        <w:t xml:space="preserve"> press releases, and </w:t>
      </w:r>
      <w:r w:rsidR="00DA699C" w:rsidRPr="003971F1">
        <w:rPr>
          <w:rFonts w:ascii="Book Antiqua" w:hAnsi="Book Antiqua"/>
          <w:lang w:val="en-US"/>
        </w:rPr>
        <w:t xml:space="preserve">we conducted a qualitative content analysis to interpret the usually written communication </w:t>
      </w:r>
      <w:r w:rsidR="00DA699C" w:rsidRPr="003971F1">
        <w:rPr>
          <w:rFonts w:ascii="Book Antiqua" w:hAnsi="Book Antiqua"/>
          <w:lang w:val="en-US"/>
        </w:rPr>
        <w:fldChar w:fldCharType="begin" w:fldLock="1"/>
      </w:r>
      <w:r w:rsidR="00DA699C" w:rsidRPr="003971F1">
        <w:rPr>
          <w:rFonts w:ascii="Book Antiqua" w:hAnsi="Book Antiqua"/>
          <w:lang w:val="en-US"/>
        </w:rPr>
        <w:instrText>ADDIN CSL_CITATION {"citationItems":[{"id":"ITEM-1","itemData":{"DOI":"10.1111/beer.12095","ISSN":"14678608","abstract":"The aim of this article is to discuss quantitative content analysis as established in communication sciences as a method for research in business ethics. We argue that communication sciences and business ethics are neighboring disciplines, which allow the transfer of quantitative content analysis from communication sciences to business ethics. Technically, quantitative content analysis can be applied through human as well as software coding. Examples for both applications are provided and discussed. We make reference to the software solutions 'Leximancer', 'Crawdad', and 'Wordle', and examine their suitability and limitations with regard to ethical questions for researching business ethics. We recommend a mixed-method approach, combining human and software coding. Furthermore, we propose a three-step process that discusses quantitative content analysis as a method for business ethics, including an ethical research objective, and most importantly, concluding with ethical reasoning and interpretation of the quantitative results.","author":[{"dropping-particle":"","family":"Lock","given":"Irina","non-dropping-particle":"","parse-names":false,"suffix":""},{"dropping-particle":"","family":"Seele","given":"Peter","non-dropping-particle":"","parse-names":false,"suffix":""}],"container-title":"Business Ethics: A European Review","id":"ITEM-1","issue":"S1","issued":{"date-parts":[["2015"]]},"page":"S24-S40","title":"Quantitative content analysis as a method for business ethics research","type":"article-journal","volume":"24"},"uris":["http://www.mendeley.com/documents/?uuid=460ee554-d377-415d-a195-8b7c5cc5d198"]}],"mendeley":{"formattedCitation":"(Lock and Seele, 2015)","plainTextFormattedCitation":"(Lock and Seele, 2015)","previouslyFormattedCitation":"(Lock and Seele, 2015)"},"properties":{"noteIndex":0},"schema":"https://github.com/citation-style-language/schema/raw/master/csl-citation.json"}</w:instrText>
      </w:r>
      <w:r w:rsidR="00DA699C" w:rsidRPr="003971F1">
        <w:rPr>
          <w:rFonts w:ascii="Book Antiqua" w:hAnsi="Book Antiqua"/>
          <w:lang w:val="en-US"/>
        </w:rPr>
        <w:fldChar w:fldCharType="separate"/>
      </w:r>
      <w:r w:rsidR="00DA699C" w:rsidRPr="003971F1">
        <w:rPr>
          <w:rFonts w:ascii="Book Antiqua" w:hAnsi="Book Antiqua"/>
          <w:noProof/>
          <w:lang w:val="en-US"/>
        </w:rPr>
        <w:t>(Lock and Seele, 2015)</w:t>
      </w:r>
      <w:r w:rsidR="00DA699C" w:rsidRPr="003971F1">
        <w:rPr>
          <w:rFonts w:ascii="Book Antiqua" w:hAnsi="Book Antiqua"/>
          <w:lang w:val="en-US"/>
        </w:rPr>
        <w:fldChar w:fldCharType="end"/>
      </w:r>
      <w:r w:rsidR="00DA699C" w:rsidRPr="003971F1">
        <w:rPr>
          <w:rFonts w:ascii="Book Antiqua" w:hAnsi="Book Antiqua"/>
          <w:lang w:val="en-US"/>
        </w:rPr>
        <w:t xml:space="preserve">, and to track a constructive view of the business engagement with the </w:t>
      </w:r>
      <w:r w:rsidR="006A0B7B" w:rsidRPr="003971F1">
        <w:rPr>
          <w:rFonts w:ascii="Book Antiqua" w:hAnsi="Book Antiqua"/>
          <w:lang w:val="en-US"/>
        </w:rPr>
        <w:t>environment</w:t>
      </w:r>
      <w:r w:rsidR="00DA699C" w:rsidRPr="003971F1">
        <w:rPr>
          <w:rFonts w:ascii="Book Antiqua" w:hAnsi="Book Antiqua"/>
          <w:lang w:val="en-US"/>
        </w:rPr>
        <w:t xml:space="preserve">. Content analysis is commonly used to assess disclosure levels because it is </w:t>
      </w:r>
      <w:r w:rsidR="00DA699C" w:rsidRPr="003971F1">
        <w:rPr>
          <w:rFonts w:ascii="Book Antiqua" w:hAnsi="Book Antiqua" w:hint="eastAsia"/>
          <w:lang w:val="en-US"/>
        </w:rPr>
        <w:t>‘</w:t>
      </w:r>
      <w:r w:rsidR="00DA699C" w:rsidRPr="003971F1">
        <w:rPr>
          <w:rFonts w:ascii="Book Antiqua" w:hAnsi="Book Antiqua"/>
          <w:lang w:val="en-US"/>
        </w:rPr>
        <w:t>a tool for the interpretation of usually written (corporate) communication [</w:t>
      </w:r>
      <w:r w:rsidR="00DA699C" w:rsidRPr="003971F1">
        <w:rPr>
          <w:rFonts w:ascii="Book Antiqua" w:hAnsi="Book Antiqua" w:hint="eastAsia"/>
          <w:lang w:val="en-US"/>
        </w:rPr>
        <w:t>…</w:t>
      </w:r>
      <w:r w:rsidR="00DA699C" w:rsidRPr="003971F1">
        <w:rPr>
          <w:rFonts w:ascii="Book Antiqua" w:hAnsi="Book Antiqua"/>
          <w:lang w:val="en-US"/>
        </w:rPr>
        <w:t>] and may help understand and interpret the manifest as well as latent content of communication regarding a corporation</w:t>
      </w:r>
      <w:r w:rsidR="00DA699C" w:rsidRPr="003971F1">
        <w:rPr>
          <w:rFonts w:ascii="Book Antiqua" w:hAnsi="Book Antiqua" w:hint="eastAsia"/>
          <w:lang w:val="en-US"/>
        </w:rPr>
        <w:t>’</w:t>
      </w:r>
      <w:r w:rsidR="00DA699C" w:rsidRPr="003971F1">
        <w:rPr>
          <w:rFonts w:ascii="Book Antiqua" w:hAnsi="Book Antiqua"/>
          <w:lang w:val="en-US"/>
        </w:rPr>
        <w:t>s ethical understanding, conduct, and behavior</w:t>
      </w:r>
      <w:r w:rsidR="00DA699C" w:rsidRPr="003971F1">
        <w:rPr>
          <w:rFonts w:ascii="Book Antiqua" w:hAnsi="Book Antiqua" w:hint="eastAsia"/>
          <w:lang w:val="en-US"/>
        </w:rPr>
        <w:t>’</w:t>
      </w:r>
      <w:r w:rsidR="00DA699C" w:rsidRPr="003971F1">
        <w:rPr>
          <w:rFonts w:ascii="Book Antiqua" w:hAnsi="Book Antiqua"/>
          <w:lang w:val="en-US"/>
        </w:rPr>
        <w:t xml:space="preserve"> </w:t>
      </w:r>
      <w:r w:rsidR="00DA699C" w:rsidRPr="003971F1">
        <w:rPr>
          <w:rFonts w:ascii="Book Antiqua" w:hAnsi="Book Antiqua"/>
          <w:lang w:val="en-US"/>
        </w:rPr>
        <w:fldChar w:fldCharType="begin" w:fldLock="1"/>
      </w:r>
      <w:r w:rsidR="00D12F3D" w:rsidRPr="003971F1">
        <w:rPr>
          <w:rFonts w:ascii="Book Antiqua" w:hAnsi="Book Antiqua"/>
          <w:lang w:val="en-US"/>
        </w:rPr>
        <w:instrText>ADDIN CSL_CITATION {"citationItems":[{"id":"ITEM-1","itemData":{"ISSN":"0167-4544","author":[{"dropping-particle":"","family":"Seele","given":"Peter","non-dropping-particle":"","parse-names":false,"suffix":""},{"dropping-particle":"","family":"Lock","given":"Irina","non-dropping-particle":"","parse-names":false,"suffix":""}],"container-title":"Journal of Business Ethics","id":"ITEM-1","issue":"2","issued":{"date-parts":[["2015"]]},"page":"401-414","publisher":"Springer","title":"Instrumental and/or deliberative? A typology of CSR communication tools","type":"article-journal","volume":"131"},"uris":["http://www.mendeley.com/documents/?uuid=f65e468d-a176-4989-a573-109adbc2a7b8"]}],"mendeley":{"formattedCitation":"(Seele and Lock, 2015)","manualFormatting":"(Seele and Lock, 2015;","plainTextFormattedCitation":"(Seele and Lock, 2015)","previouslyFormattedCitation":"(Seele and Lock, 2015)"},"properties":{"noteIndex":0},"schema":"https://github.com/citation-style-language/schema/raw/master/csl-citation.json"}</w:instrText>
      </w:r>
      <w:r w:rsidR="00DA699C" w:rsidRPr="003971F1">
        <w:rPr>
          <w:rFonts w:ascii="Book Antiqua" w:hAnsi="Book Antiqua"/>
          <w:lang w:val="en-US"/>
        </w:rPr>
        <w:fldChar w:fldCharType="separate"/>
      </w:r>
      <w:r w:rsidR="00DA699C" w:rsidRPr="003971F1">
        <w:rPr>
          <w:rFonts w:ascii="Book Antiqua" w:hAnsi="Book Antiqua"/>
          <w:noProof/>
          <w:lang w:val="en-US"/>
        </w:rPr>
        <w:t>(Seele and Lock, 2015;</w:t>
      </w:r>
      <w:r w:rsidR="00DA699C" w:rsidRPr="003971F1">
        <w:rPr>
          <w:rFonts w:ascii="Book Antiqua" w:hAnsi="Book Antiqua"/>
          <w:lang w:val="en-US"/>
        </w:rPr>
        <w:fldChar w:fldCharType="end"/>
      </w:r>
      <w:r w:rsidR="00DA699C" w:rsidRPr="003971F1">
        <w:rPr>
          <w:rFonts w:ascii="Book Antiqua" w:hAnsi="Book Antiqua"/>
          <w:lang w:val="en-US"/>
        </w:rPr>
        <w:t xml:space="preserve"> </w:t>
      </w:r>
      <w:r w:rsidR="00DA699C" w:rsidRPr="003971F1">
        <w:rPr>
          <w:rFonts w:ascii="Book Antiqua" w:hAnsi="Book Antiqua"/>
          <w:lang w:val="en-US"/>
        </w:rPr>
        <w:fldChar w:fldCharType="begin" w:fldLock="1"/>
      </w:r>
      <w:r w:rsidR="00DA699C" w:rsidRPr="003971F1">
        <w:rPr>
          <w:rFonts w:ascii="Book Antiqua" w:hAnsi="Book Antiqua"/>
          <w:lang w:val="en-US"/>
        </w:rPr>
        <w:instrText>ADDIN CSL_CITATION {"citationItems":[{"id":"ITEM-1","itemData":{"DOI":"10.1111/beer.12095","ISSN":"14678608","abstract":"The aim of this article is to discuss quantitative content analysis as established in communication sciences as a method for research in business ethics. We argue that communication sciences and business ethics are neighboring disciplines, which allow the transfer of quantitative content analysis from communication sciences to business ethics. Technically, quantitative content analysis can be applied through human as well as software coding. Examples for both applications are provided and discussed. We make reference to the software solutions 'Leximancer', 'Crawdad', and 'Wordle', and examine their suitability and limitations with regard to ethical questions for researching business ethics. We recommend a mixed-method approach, combining human and software coding. Furthermore, we propose a three-step process that discusses quantitative content analysis as a method for business ethics, including an ethical research objective, and most importantly, concluding with ethical reasoning and interpretation of the quantitative results.","author":[{"dropping-particle":"","family":"Lock","given":"Irina","non-dropping-particle":"","parse-names":false,"suffix":""},{"dropping-particle":"","family":"Seele","given":"Peter","non-dropping-particle":"","parse-names":false,"suffix":""}],"container-title":"Business Ethics: A European Review","id":"ITEM-1","issue":"S1","issued":{"date-parts":[["2015"]]},"page":"S24-S40","title":"Quantitative content analysis as a method for business ethics research","type":"article-journal","volume":"24"},"uris":["http://www.mendeley.com/documents/?uuid=460ee554-d377-415d-a195-8b7c5cc5d198"]}],"mendeley":{"formattedCitation":"(Lock and Seele, 2015)","manualFormatting":"Lock and Seele, 2015)","plainTextFormattedCitation":"(Lock and Seele, 2015)","previouslyFormattedCitation":"(Lock and Seele, 2015)"},"properties":{"noteIndex":0},"schema":"https://github.com/citation-style-language/schema/raw/master/csl-citation.json"}</w:instrText>
      </w:r>
      <w:r w:rsidR="00DA699C" w:rsidRPr="003971F1">
        <w:rPr>
          <w:rFonts w:ascii="Book Antiqua" w:hAnsi="Book Antiqua"/>
          <w:lang w:val="en-US"/>
        </w:rPr>
        <w:fldChar w:fldCharType="separate"/>
      </w:r>
      <w:r w:rsidR="00DA699C" w:rsidRPr="003971F1">
        <w:rPr>
          <w:rFonts w:ascii="Book Antiqua" w:hAnsi="Book Antiqua"/>
          <w:noProof/>
          <w:lang w:val="en-US"/>
        </w:rPr>
        <w:t>Lock and Seele, 2015)</w:t>
      </w:r>
      <w:r w:rsidR="00DA699C" w:rsidRPr="003971F1">
        <w:rPr>
          <w:rFonts w:ascii="Book Antiqua" w:hAnsi="Book Antiqua"/>
          <w:lang w:val="en-US"/>
        </w:rPr>
        <w:fldChar w:fldCharType="end"/>
      </w:r>
      <w:r w:rsidR="00DA699C" w:rsidRPr="003971F1">
        <w:rPr>
          <w:rFonts w:ascii="Book Antiqua" w:hAnsi="Book Antiqua"/>
          <w:lang w:val="en-US"/>
        </w:rPr>
        <w:t xml:space="preserve">. Content analysis is </w:t>
      </w:r>
      <w:r w:rsidR="00DA699C" w:rsidRPr="003971F1">
        <w:rPr>
          <w:rFonts w:ascii="Book Antiqua" w:hAnsi="Book Antiqua" w:hint="eastAsia"/>
          <w:lang w:val="en-US"/>
        </w:rPr>
        <w:t>‘</w:t>
      </w:r>
      <w:r w:rsidR="00DA699C" w:rsidRPr="003971F1">
        <w:rPr>
          <w:rFonts w:ascii="Book Antiqua" w:hAnsi="Book Antiqua"/>
          <w:lang w:val="en-US"/>
        </w:rPr>
        <w:t>a research technique for making replicable and valid inferences from texts (or other meaningful matter) to the contexts of their use</w:t>
      </w:r>
      <w:r w:rsidR="00DA699C" w:rsidRPr="003971F1">
        <w:rPr>
          <w:rFonts w:ascii="Book Antiqua" w:hAnsi="Book Antiqua" w:hint="eastAsia"/>
          <w:lang w:val="en-US"/>
        </w:rPr>
        <w:t>’</w:t>
      </w:r>
      <w:r w:rsidR="00DA699C" w:rsidRPr="003971F1">
        <w:rPr>
          <w:rFonts w:ascii="Book Antiqua" w:hAnsi="Book Antiqua"/>
          <w:lang w:val="en-US"/>
        </w:rPr>
        <w:t xml:space="preserve"> (</w:t>
      </w:r>
      <w:r w:rsidR="00DA699C" w:rsidRPr="003971F1">
        <w:rPr>
          <w:rFonts w:ascii="Book Antiqua" w:hAnsi="Book Antiqua"/>
          <w:lang w:val="en-US"/>
        </w:rPr>
        <w:fldChar w:fldCharType="begin" w:fldLock="1"/>
      </w:r>
      <w:r w:rsidR="00DA699C" w:rsidRPr="003971F1">
        <w:rPr>
          <w:rFonts w:ascii="Book Antiqua" w:hAnsi="Book Antiqua"/>
          <w:lang w:val="en-US"/>
        </w:rPr>
        <w:instrText>ADDIN CSL_CITATION {"citationItems":[{"id":"ITEM-1","itemData":{"DOI":"10.2307/2288384","ISBN":"0761915451","ISSN":"01621459","PMID":"370546962","abstract":"The Second Edition of Content Analysis: An Introduction to Its Methodology is a definitive sourcebook of the history and core principles of content analysis as well as an essential resource for present and future studies. The book introduces readers to ways of analyzing meaningful matter such as texts, images, voices - that is, data whose physical manifestations are secondary to the meanings that a particular population of people brings to them. Organized into three parts, the book examines the conceptual and methodological aspects of content analysis and also traces several paths through content analysis protocols. The author has completely revised and updated the Second Edition, integrating new information on computer-aided text analysis. The book also includes a practical guide that incorporates experiences in teaching and how to advise academic and commercial researchers. In addition, Krippendorff clarifies the epistemology and logic of content analysis as well as the methods for achieving its aims. Intended as a textbook for advanced undergraduate and graduate students across the social sciences, Content Analysis, Second Edition will also be a valuable resource for practitioners in a variety of disciplines.","author":[{"dropping-particle":"","family":"Krippendorff","given":"Klaus","non-dropping-particle":"","parse-names":false,"suffix":""}],"edition":"(2nd ed.)","id":"ITEM-1","issued":{"date-parts":[["2004"]]},"number-of-pages":"440","publisher":"London: Sage Publications","title":"Content Analysis: An Introduction to Its Methodology","type":"book","volume":"79"},"uris":["http://www.mendeley.com/documents/?uuid=c20aabec-2f29-4a76-bcd2-e0cd5cb5280c"]}],"mendeley":{"formattedCitation":"(Krippendorff, 2004)","manualFormatting":"Krippendorff, 2004","plainTextFormattedCitation":"(Krippendorff, 2004)","previouslyFormattedCitation":"(Krippendorff, 2004)"},"properties":{"noteIndex":0},"schema":"https://github.com/citation-style-language/schema/raw/master/csl-citation.json"}</w:instrText>
      </w:r>
      <w:r w:rsidR="00DA699C" w:rsidRPr="003971F1">
        <w:rPr>
          <w:rFonts w:ascii="Book Antiqua" w:hAnsi="Book Antiqua"/>
          <w:lang w:val="en-US"/>
        </w:rPr>
        <w:fldChar w:fldCharType="separate"/>
      </w:r>
      <w:r w:rsidR="00DA699C" w:rsidRPr="003971F1">
        <w:rPr>
          <w:rFonts w:ascii="Book Antiqua" w:hAnsi="Book Antiqua"/>
          <w:noProof/>
          <w:lang w:val="en-US"/>
        </w:rPr>
        <w:t>Krippendorff, 2004</w:t>
      </w:r>
      <w:r w:rsidR="00DA699C" w:rsidRPr="003971F1">
        <w:rPr>
          <w:rFonts w:ascii="Book Antiqua" w:hAnsi="Book Antiqua"/>
          <w:lang w:val="en-US"/>
        </w:rPr>
        <w:fldChar w:fldCharType="end"/>
      </w:r>
      <w:r w:rsidR="00DA699C" w:rsidRPr="003971F1">
        <w:rPr>
          <w:rFonts w:ascii="Book Antiqua" w:hAnsi="Book Antiqua"/>
          <w:lang w:val="en-US"/>
        </w:rPr>
        <w:t xml:space="preserve">; p. 18) that </w:t>
      </w:r>
      <w:r w:rsidR="00DA699C" w:rsidRPr="003971F1">
        <w:rPr>
          <w:rFonts w:ascii="Book Antiqua" w:hAnsi="Book Antiqua" w:hint="eastAsia"/>
          <w:lang w:val="en-US"/>
        </w:rPr>
        <w:t>‘</w:t>
      </w:r>
      <w:r w:rsidR="00DA699C" w:rsidRPr="003971F1">
        <w:rPr>
          <w:rFonts w:ascii="Book Antiqua" w:hAnsi="Book Antiqua"/>
          <w:lang w:val="en-US"/>
        </w:rPr>
        <w:t>views data as representations not of physical events but of texts, images, and expressions that are created to be seen, read, interpreted, and acted on for their meanings, and must therefore be analyzed with such uses in mind. Analyzing texts in the contexts of their uses distinguishes content analysis from other methods of inquiry</w:t>
      </w:r>
      <w:r w:rsidR="00DA699C" w:rsidRPr="003971F1">
        <w:rPr>
          <w:rFonts w:ascii="Book Antiqua" w:hAnsi="Book Antiqua" w:hint="eastAsia"/>
          <w:lang w:val="en-US"/>
        </w:rPr>
        <w:t>’</w:t>
      </w:r>
      <w:r w:rsidR="00DA699C" w:rsidRPr="003971F1">
        <w:rPr>
          <w:rFonts w:ascii="Book Antiqua" w:hAnsi="Book Antiqua"/>
          <w:lang w:val="en-US"/>
        </w:rPr>
        <w:t xml:space="preserve"> (</w:t>
      </w:r>
      <w:proofErr w:type="spellStart"/>
      <w:r w:rsidR="00DA699C" w:rsidRPr="003971F1">
        <w:rPr>
          <w:rFonts w:ascii="Book Antiqua" w:hAnsi="Book Antiqua"/>
          <w:lang w:val="en-US"/>
        </w:rPr>
        <w:t>Krippendorff</w:t>
      </w:r>
      <w:proofErr w:type="spellEnd"/>
      <w:r w:rsidR="00DA699C" w:rsidRPr="003971F1">
        <w:rPr>
          <w:rFonts w:ascii="Book Antiqua" w:hAnsi="Book Antiqua"/>
          <w:lang w:val="en-US"/>
        </w:rPr>
        <w:t xml:space="preserve">, 2013, p. xvii). Lock and </w:t>
      </w:r>
      <w:proofErr w:type="spellStart"/>
      <w:r w:rsidR="00DA699C" w:rsidRPr="003971F1">
        <w:rPr>
          <w:rFonts w:ascii="Book Antiqua" w:hAnsi="Book Antiqua"/>
          <w:lang w:val="en-US"/>
        </w:rPr>
        <w:t>Seele</w:t>
      </w:r>
      <w:proofErr w:type="spellEnd"/>
      <w:r w:rsidR="00DA699C" w:rsidRPr="003971F1">
        <w:rPr>
          <w:rFonts w:ascii="Book Antiqua" w:hAnsi="Book Antiqua"/>
          <w:lang w:val="en-US"/>
        </w:rPr>
        <w:t xml:space="preserve"> (2015) synthesize the power of </w:t>
      </w:r>
      <w:r w:rsidR="00432623">
        <w:rPr>
          <w:rFonts w:ascii="Book Antiqua" w:hAnsi="Book Antiqua"/>
          <w:lang w:val="en-US"/>
        </w:rPr>
        <w:t>qualitative</w:t>
      </w:r>
      <w:r w:rsidR="00DA699C" w:rsidRPr="003971F1">
        <w:rPr>
          <w:rFonts w:ascii="Book Antiqua" w:hAnsi="Book Antiqua"/>
          <w:lang w:val="en-US"/>
        </w:rPr>
        <w:t xml:space="preserve"> content analysis with four points: as a method (1) to reduce the respondent</w:t>
      </w:r>
      <w:r w:rsidR="00DA699C" w:rsidRPr="003971F1">
        <w:rPr>
          <w:rFonts w:ascii="Book Antiqua" w:hAnsi="Book Antiqua" w:hint="eastAsia"/>
          <w:lang w:val="en-US"/>
        </w:rPr>
        <w:t>’</w:t>
      </w:r>
      <w:r w:rsidR="00DA699C" w:rsidRPr="003971F1">
        <w:rPr>
          <w:rFonts w:ascii="Book Antiqua" w:hAnsi="Book Antiqua"/>
          <w:lang w:val="en-US"/>
        </w:rPr>
        <w:t>s bias, (2) to easily check for the validity and reliability of collected data, (3) to properly strengthen triangulation in the event that such a method is intertwined with interviews or questionnaires, and (4) to understand a company</w:t>
      </w:r>
      <w:r w:rsidR="00DA699C" w:rsidRPr="003971F1">
        <w:rPr>
          <w:rFonts w:ascii="Book Antiqua" w:hAnsi="Book Antiqua" w:hint="eastAsia"/>
          <w:lang w:val="en-US"/>
        </w:rPr>
        <w:t>’</w:t>
      </w:r>
      <w:r w:rsidR="00DA699C" w:rsidRPr="003971F1">
        <w:rPr>
          <w:rFonts w:ascii="Book Antiqua" w:hAnsi="Book Antiqua"/>
          <w:lang w:val="en-US"/>
        </w:rPr>
        <w:t xml:space="preserve">s CSR communication, ethical behavior, or standard of conduct. </w:t>
      </w:r>
    </w:p>
    <w:p w14:paraId="34059CA6" w14:textId="2E04985A" w:rsidR="00E84834" w:rsidRPr="003971F1" w:rsidRDefault="006A0B7B" w:rsidP="00B4045D">
      <w:pPr>
        <w:autoSpaceDE w:val="0"/>
        <w:autoSpaceDN w:val="0"/>
        <w:adjustRightInd w:val="0"/>
        <w:spacing w:after="120"/>
        <w:jc w:val="both"/>
        <w:rPr>
          <w:rFonts w:ascii="Book Antiqua" w:hAnsi="Book Antiqua"/>
          <w:lang w:val="en-US"/>
        </w:rPr>
      </w:pPr>
      <w:r w:rsidRPr="003971F1">
        <w:rPr>
          <w:rFonts w:ascii="Book Antiqua" w:hAnsi="Book Antiqua"/>
          <w:lang w:val="en-US"/>
        </w:rPr>
        <w:t>The qualitative content analysis was</w:t>
      </w:r>
      <w:r w:rsidR="00E84834" w:rsidRPr="003971F1">
        <w:rPr>
          <w:rFonts w:ascii="Book Antiqua" w:hAnsi="Book Antiqua"/>
          <w:lang w:val="en-US"/>
        </w:rPr>
        <w:t xml:space="preserve"> designed around the analytical construct suggested by </w:t>
      </w:r>
      <w:r w:rsidR="00E84834" w:rsidRPr="003971F1">
        <w:rPr>
          <w:rFonts w:ascii="Book Antiqua" w:hAnsi="Book Antiqua"/>
          <w:lang w:val="en-US"/>
        </w:rPr>
        <w:fldChar w:fldCharType="begin" w:fldLock="1"/>
      </w:r>
      <w:r w:rsidR="001D36E8" w:rsidRPr="003971F1">
        <w:rPr>
          <w:rFonts w:ascii="Book Antiqua" w:hAnsi="Book Antiqua"/>
          <w:lang w:val="en-US"/>
        </w:rPr>
        <w:instrText>ADDIN CSL_CITATION {"citationItems":[{"id":"ITEM-1","itemData":{"ISBN":"9781452257877","author":[{"dropping-particle":"","family":"Miles","given":"Matthew B.","non-dropping-particle":"","parse-names":false,"suffix":""},{"dropping-particle":"","family":"Huberman","given":"Michael A.","non-dropping-particle":"","parse-names":false,"suffix":""},{"dropping-particle":"","family":"Saldana","given":"Johnny","non-dropping-particle":"","parse-names":false,"suffix":""}],"id":"ITEM-1","issued":{"date-parts":[["2014"]]},"number-of-pages":"302","publisher":"SAGE Publications Inc","title":"Qualitative Data Analysis: A Methods Sourcebook","type":"book"},"uris":["http://www.mendeley.com/documents/?uuid=452de9a1-ea2e-4924-a96b-318d4064ddec","http://www.mendeley.com/documents/?uuid=ae849a11-0e4b-48d7-8a6d-ebadfe4839a0"]}],"mendeley":{"formattedCitation":"(Miles, Huberman and Saldana, 2014)","manualFormatting":"Miles, Huberman, &amp; Saldana (2014)","plainTextFormattedCitation":"(Miles, Huberman and Saldana, 2014)","previouslyFormattedCitation":"(Miles, Huberman and Saldana, 2014)"},"properties":{"noteIndex":0},"schema":"https://github.com/citation-style-language/schema/raw/master/csl-citation.json"}</w:instrText>
      </w:r>
      <w:r w:rsidR="00E84834" w:rsidRPr="003971F1">
        <w:rPr>
          <w:rFonts w:ascii="Book Antiqua" w:hAnsi="Book Antiqua"/>
          <w:lang w:val="en-US"/>
        </w:rPr>
        <w:fldChar w:fldCharType="separate"/>
      </w:r>
      <w:r w:rsidR="00E84834" w:rsidRPr="003971F1">
        <w:rPr>
          <w:rFonts w:ascii="Book Antiqua" w:hAnsi="Book Antiqua"/>
          <w:noProof/>
          <w:lang w:val="en-US"/>
        </w:rPr>
        <w:t>Miles, Huberman, &amp; Saldana (2014)</w:t>
      </w:r>
      <w:r w:rsidR="00E84834" w:rsidRPr="003971F1">
        <w:rPr>
          <w:rFonts w:ascii="Book Antiqua" w:hAnsi="Book Antiqua"/>
          <w:lang w:val="en-US"/>
        </w:rPr>
        <w:fldChar w:fldCharType="end"/>
      </w:r>
      <w:r w:rsidR="00E84834" w:rsidRPr="003971F1">
        <w:rPr>
          <w:rFonts w:ascii="Book Antiqua" w:hAnsi="Book Antiqua"/>
          <w:lang w:val="en-US"/>
        </w:rPr>
        <w:t xml:space="preserve"> and </w:t>
      </w:r>
      <w:r w:rsidR="00E84834" w:rsidRPr="003971F1">
        <w:rPr>
          <w:rFonts w:ascii="Book Antiqua" w:hAnsi="Book Antiqua"/>
          <w:lang w:val="en-US"/>
        </w:rPr>
        <w:fldChar w:fldCharType="begin" w:fldLock="1"/>
      </w:r>
      <w:r w:rsidR="00377985" w:rsidRPr="003971F1">
        <w:rPr>
          <w:rFonts w:ascii="Book Antiqua" w:hAnsi="Book Antiqua"/>
          <w:lang w:val="en-US"/>
        </w:rPr>
        <w:instrText>ADDIN CSL_CITATION {"citationItems":[{"id":"ITEM-1","itemData":{"DOI":"10.2307/2288384","ISBN":"0761915451","ISSN":"01621459","PMID":"370546962","abstract":"The Second Edition of Content Analysis: An Introduction to Its Methodology is a definitive sourcebook of the history and core principles of content analysis as well as an essential resource for present and future studies. The book introduces readers to ways of analyzing meaningful matter such as texts, images, voices - that is, data whose physical manifestations are secondary to the meanings that a particular population of people brings to them. Organized into three parts, the book examines the conceptual and methodological aspects of content analysis and also traces several paths through content analysis protocols. The author has completely revised and updated the Second Edition, integrating new information on computer-aided text analysis. The book also includes a practical guide that incorporates experiences in teaching and how to advise academic and commercial researchers. In addition, Krippendorff clarifies the epistemology and logic of content analysis as well as the methods for achieving its aims. Intended as a textbook for advanced undergraduate and graduate students across the social sciences, Content Analysis, Second Edition will also be a valuable resource for practitioners in a variety of disciplines.","author":[{"dropping-particle":"","family":"Krippendorff","given":"Klaus","non-dropping-particle":"","parse-names":false,"suffix":""}],"edition":"(2nd ed.)","id":"ITEM-1","issued":{"date-parts":[["2004"]]},"number-of-pages":"440","publisher":"London: Sage Publications","title":"Content Analysis: An Introduction to Its Methodology","type":"book","volume":"79"},"uris":["http://www.mendeley.com/documents/?uuid=c20aabec-2f29-4a76-bcd2-e0cd5cb5280c"]}],"mendeley":{"formattedCitation":"(Krippendorff, 2004)","manualFormatting":"Krippendorff (2004)","plainTextFormattedCitation":"(Krippendorff, 2004)","previouslyFormattedCitation":"(Krippendorff, 2004)"},"properties":{"noteIndex":0},"schema":"https://github.com/citation-style-language/schema/raw/master/csl-citation.json"}</w:instrText>
      </w:r>
      <w:r w:rsidR="00E84834" w:rsidRPr="003971F1">
        <w:rPr>
          <w:rFonts w:ascii="Book Antiqua" w:hAnsi="Book Antiqua"/>
          <w:lang w:val="en-US"/>
        </w:rPr>
        <w:fldChar w:fldCharType="separate"/>
      </w:r>
      <w:r w:rsidR="00E84834" w:rsidRPr="003971F1">
        <w:rPr>
          <w:rFonts w:ascii="Book Antiqua" w:hAnsi="Book Antiqua"/>
          <w:noProof/>
          <w:lang w:val="en-US"/>
        </w:rPr>
        <w:t>Krippendorff (2004)</w:t>
      </w:r>
      <w:r w:rsidR="00E84834" w:rsidRPr="003971F1">
        <w:rPr>
          <w:rFonts w:ascii="Book Antiqua" w:hAnsi="Book Antiqua"/>
          <w:lang w:val="en-US"/>
        </w:rPr>
        <w:fldChar w:fldCharType="end"/>
      </w:r>
      <w:r w:rsidR="00E84834" w:rsidRPr="003971F1">
        <w:rPr>
          <w:rFonts w:ascii="Book Antiqua" w:hAnsi="Book Antiqua"/>
          <w:lang w:val="en-US"/>
        </w:rPr>
        <w:t xml:space="preserve"> and conducted by going back and forth with the data, which means to concurrently work with the sustainability reports, the scholarly corpus of the literature within the </w:t>
      </w:r>
      <w:r w:rsidRPr="003971F1">
        <w:rPr>
          <w:rFonts w:ascii="Book Antiqua" w:hAnsi="Book Antiqua"/>
          <w:lang w:val="en-US"/>
        </w:rPr>
        <w:t xml:space="preserve">corporate environmental management. </w:t>
      </w:r>
    </w:p>
    <w:p w14:paraId="4127A87F" w14:textId="3B243B8A" w:rsidR="00B4045D" w:rsidRPr="003971F1" w:rsidRDefault="00E84834" w:rsidP="00C87DC4">
      <w:pPr>
        <w:autoSpaceDE w:val="0"/>
        <w:autoSpaceDN w:val="0"/>
        <w:adjustRightInd w:val="0"/>
        <w:spacing w:after="120"/>
        <w:jc w:val="both"/>
        <w:rPr>
          <w:rFonts w:ascii="Book Antiqua" w:hAnsi="Book Antiqua"/>
          <w:lang w:val="en-US"/>
        </w:rPr>
      </w:pPr>
      <w:r w:rsidRPr="003971F1">
        <w:rPr>
          <w:rFonts w:ascii="Book Antiqua" w:hAnsi="Book Antiqua"/>
          <w:lang w:val="en-US"/>
        </w:rPr>
        <w:t>The analysis started with within-case analysis (Yin, 1994), thus the cases were comparatively classified with each other by identifying the companies’ key characterizations which delineate the</w:t>
      </w:r>
      <w:r w:rsidR="00432623">
        <w:rPr>
          <w:rFonts w:ascii="Book Antiqua" w:hAnsi="Book Antiqua"/>
          <w:lang w:val="en-US"/>
        </w:rPr>
        <w:t xml:space="preserve"> disclosure of environmental practices</w:t>
      </w:r>
      <w:r w:rsidR="002D0C1F" w:rsidRPr="003971F1">
        <w:rPr>
          <w:rFonts w:ascii="Book Antiqua" w:hAnsi="Book Antiqua"/>
          <w:lang w:val="en-US"/>
        </w:rPr>
        <w:t xml:space="preserve"> </w:t>
      </w:r>
      <w:r w:rsidRPr="003971F1">
        <w:rPr>
          <w:rFonts w:ascii="Book Antiqua" w:hAnsi="Book Antiqua"/>
          <w:lang w:val="en-US"/>
        </w:rPr>
        <w:t xml:space="preserve">The disclosure on stakeholder engagement serves to understand how the company deals with reasonable expectations and multiple interests of stakeholders </w:t>
      </w:r>
      <w:r w:rsidRPr="003971F1">
        <w:rPr>
          <w:rFonts w:ascii="Book Antiqua" w:hAnsi="Book Antiqua"/>
          <w:lang w:val="en-US"/>
        </w:rPr>
        <w:fldChar w:fldCharType="begin" w:fldLock="1"/>
      </w:r>
      <w:r w:rsidR="001D36E8" w:rsidRPr="003971F1">
        <w:rPr>
          <w:rFonts w:ascii="Book Antiqua" w:hAnsi="Book Antiqua"/>
          <w:lang w:val="en-US"/>
        </w:rPr>
        <w:instrText>ADDIN CSL_CITATION {"citationItems":[{"id":"ITEM-1","itemData":{"DOI":"10.1002/bse.1917","ISSN":"10990836","abstract":"This paper studies the determinants of materiality disclosure among International Integrated Reporting Council (IIRC) Pilot Program companies implementing the IIRC Framework. In other words, it studies which variables influence the way in which such companies provides information about their materiality determination process. In order to test our hypotheses we performed a number of statistical analyses on a unique hand-collected dataset including IIRC and non-IIRC Pilot Program companies for the 2012 and 2013 fiscal years. Our results indicate that industry and some firm-level characteristics (board size and diversity) do play a significant role in the determination of materiality disclosure, whereas the legal environment in which companies operate does not. Also, we found that IIRC Pilot Program companies disclosed more information about materiality than their competitors that did not join the program. This paper provides interesting insights for policy makers (in particular, the IIRC) and extends previous academic literature on integrated reporting. Copyright (c) 2016 John Wiley &amp; Sons, Ltd and ERP Environment","author":[{"dropping-particle":"","family":"Fasan","given":"Marco","non-dropping-particle":"","parse-names":false,"suffix":""},{"dropping-particle":"","family":"Mio","given":"Chiara","non-dropping-particle":"","parse-names":false,"suffix":""}],"container-title":"Business Strategy and the Environment","id":"ITEM-1","issue":"3","issued":{"date-parts":[["2017"]]},"page":"288-305","title</w:instrText>
      </w:r>
      <w:r w:rsidR="001D36E8" w:rsidRPr="00846BF6">
        <w:rPr>
          <w:rFonts w:ascii="Book Antiqua" w:hAnsi="Book Antiqua"/>
          <w:lang w:val="en-GB"/>
        </w:rPr>
        <w:instrText>":"Fostering Stakeholder Engagement: The Role of Materiality Disclosure in Integrated Reporting","type":"article-journal","volume":"26"},"uris":["http://www.mendeley.com/documents/?uuid=f4a08d4b-73bb-478f-9e09-5403217fca14"]},{"id":"ITEM-2","itemData":{"DOI":"10.1002/csr.1345","author":[{"dropping-particle":"","family":"Sierra-garcía","given":"Laura","non-dropping-particle":"","parse-names":false,"suffix":""},{"dropping-particle":"","family":"Zorio-grima","given":"Ana","non-dropping-particle":"","parse-names":false,"suffix":""},{"dropping-particle":"","family":"García-benau","given":"María A","non-dropping-particle":"","parse-names":false,"suffix":""}],"container-title":"Corporate Social Responsibility and Environmental Management","id":"ITEM-2","issue":"5","issued":{"date-parts":[["2015"]]},"page":"286-304","title":"Stakeholder Engagement, Corporate Social Responsibility and Integrated Reporting: An Exploratory Study","type":"article-journal","volume":"22"},"uris":["http://www.mendeley.com/documents/?uuid=ff95efb1-d9eb-41bc-b0e1-ed6a3ac08e01"]}],"mendeley":{"formattedCitation":"(Sierra-garcía, Zorio-grima and García-benau, 2015; Fasan and Mio, 2017)","plainTextFormattedCitation":"(Sierra-garcía, Zorio-grima and García-benau, 2015; Fasan and Mio, 2017)","previouslyFormattedCitation":"(Sierra-garcía, Zorio-grima and García-benau, 2015; Fasan and Mio, 2017)"},"properties":{"noteIndex":0},"schema":"https://github.com/citation-style-language/schema/raw/master/csl-citation.json"}</w:instrText>
      </w:r>
      <w:r w:rsidRPr="003971F1">
        <w:rPr>
          <w:rFonts w:ascii="Book Antiqua" w:hAnsi="Book Antiqua"/>
          <w:lang w:val="en-US"/>
        </w:rPr>
        <w:fldChar w:fldCharType="separate"/>
      </w:r>
      <w:r w:rsidR="00377985" w:rsidRPr="00846BF6">
        <w:rPr>
          <w:rFonts w:ascii="Book Antiqua" w:hAnsi="Book Antiqua"/>
          <w:noProof/>
          <w:lang w:val="en-GB"/>
        </w:rPr>
        <w:t>(Sierra-garcía, Zorio-grima and García-benau, 2015; Fasan and Mio, 2017)</w:t>
      </w:r>
      <w:r w:rsidRPr="003971F1">
        <w:rPr>
          <w:rFonts w:ascii="Book Antiqua" w:hAnsi="Book Antiqua"/>
          <w:lang w:val="en-US"/>
        </w:rPr>
        <w:fldChar w:fldCharType="end"/>
      </w:r>
      <w:r w:rsidRPr="00846BF6">
        <w:rPr>
          <w:rFonts w:ascii="Book Antiqua" w:hAnsi="Book Antiqua"/>
          <w:lang w:val="en-GB"/>
        </w:rPr>
        <w:t xml:space="preserve">. </w:t>
      </w:r>
      <w:r w:rsidRPr="003971F1">
        <w:rPr>
          <w:rFonts w:ascii="Book Antiqua" w:hAnsi="Book Antiqua"/>
          <w:lang w:val="en-US"/>
        </w:rPr>
        <w:t xml:space="preserve">Then, </w:t>
      </w:r>
      <w:r w:rsidR="007F6949" w:rsidRPr="003971F1">
        <w:rPr>
          <w:rFonts w:ascii="Book Antiqua" w:hAnsi="Book Antiqua"/>
          <w:lang w:val="en-US"/>
        </w:rPr>
        <w:t>t</w:t>
      </w:r>
      <w:r w:rsidRPr="003971F1">
        <w:rPr>
          <w:rFonts w:ascii="Book Antiqua" w:hAnsi="Book Antiqua"/>
          <w:lang w:val="en-US"/>
        </w:rPr>
        <w:t xml:space="preserve">he analytical construct followed </w:t>
      </w:r>
      <w:r w:rsidRPr="003971F1">
        <w:rPr>
          <w:rFonts w:ascii="Book Antiqua" w:hAnsi="Book Antiqua"/>
          <w:lang w:val="en-US"/>
        </w:rPr>
        <w:fldChar w:fldCharType="begin" w:fldLock="1"/>
      </w:r>
      <w:r w:rsidR="001D36E8" w:rsidRPr="003971F1">
        <w:rPr>
          <w:rFonts w:ascii="Book Antiqua" w:hAnsi="Book Antiqua"/>
          <w:lang w:val="en-US"/>
        </w:rPr>
        <w:instrText>ADDIN CSL_CITATION {"citationItems":[{"id":"ITEM-1","itemData":{"ISBN":"9781452257877","author":[{"dropping-particle":"","family":"Miles","given":"Matthew B.","non-dropping-particle":"","parse-names":false,"suffix":""},{"dropping-particle":"","family":"Huberman","given":"Michael A.","non-dropping-particle":"","parse-names":false,"suffix":""},{"dropping-particle":"","family":"Saldana","given":"Johnny","non-dropping-particle":"","parse-names":false,"suffix":""}],"id":"ITEM-1","issued":{"date-parts":[["2014"]]},"number-of-pages":"302","publisher":"SAGE Publications Inc","title":"Qualitative Data Analysis: A Methods Sourcebook","type":"book"},"uris":["http://www.mendeley.com/documents/?uuid=452de9a1-ea2e-4924-a96b-318d4064ddec","http://www.mendeley.com/documents/?uuid=ae849a11-0e4b-48d7-8a6d-ebadfe4839a0"]}],"mendeley":{"formattedCitation":"(Miles, Huberman and Saldana, 2014)","manualFormatting":"Miles, Huberman, &amp; Saldana (2014)","plainTextFormattedCitation":"(Miles, Huberman and Saldana, 2014)","previouslyFormattedCitation":"(Miles, Huberman and Saldana, 2014)"},"properties":{"noteIndex":0},"schema":"https://github.com/citation-style-language/schema/raw/master/csl-citation.json"}</w:instrText>
      </w:r>
      <w:r w:rsidRPr="003971F1">
        <w:rPr>
          <w:rFonts w:ascii="Book Antiqua" w:hAnsi="Book Antiqua"/>
          <w:lang w:val="en-US"/>
        </w:rPr>
        <w:fldChar w:fldCharType="separate"/>
      </w:r>
      <w:r w:rsidRPr="003971F1">
        <w:rPr>
          <w:rFonts w:ascii="Book Antiqua" w:hAnsi="Book Antiqua"/>
          <w:noProof/>
          <w:lang w:val="en-US"/>
        </w:rPr>
        <w:t>Miles, Huberman, &amp; Saldana (2014)</w:t>
      </w:r>
      <w:r w:rsidRPr="003971F1">
        <w:rPr>
          <w:rFonts w:ascii="Book Antiqua" w:hAnsi="Book Antiqua"/>
          <w:lang w:val="en-US"/>
        </w:rPr>
        <w:fldChar w:fldCharType="end"/>
      </w:r>
      <w:r w:rsidRPr="003971F1">
        <w:rPr>
          <w:rFonts w:ascii="Book Antiqua" w:hAnsi="Book Antiqua"/>
          <w:lang w:val="en-US"/>
        </w:rPr>
        <w:t xml:space="preserve"> and </w:t>
      </w:r>
      <w:r w:rsidRPr="003971F1">
        <w:rPr>
          <w:rFonts w:ascii="Book Antiqua" w:hAnsi="Book Antiqua"/>
          <w:lang w:val="en-US"/>
        </w:rPr>
        <w:fldChar w:fldCharType="begin" w:fldLock="1"/>
      </w:r>
      <w:r w:rsidR="00377985" w:rsidRPr="003971F1">
        <w:rPr>
          <w:rFonts w:ascii="Book Antiqua" w:hAnsi="Book Antiqua"/>
          <w:lang w:val="en-US"/>
        </w:rPr>
        <w:instrText>ADDIN CSL_CITATION {"citationItems":[{"id":"ITEM-1","itemData":{"DOI":"10.2307/2288384","ISBN":"0761915451","ISSN":"01621459","PMID":"370546962","abstract":"The Second Edition of Content Analysis: An Introduction to Its Methodology is a definitive sourcebook of the history and core principles of content analysis as well as an essential resource for present and future studies. The book introduces readers to ways of analyzing meaningful matter such as texts, images, voices - that is, data whose physical manifestations are secondary to the meanings that a particular population of people brings to them. Organized into three parts, the book examines the conceptual and methodological aspects of content analysis and also traces several paths through content analysis protocols. The author has completely revised and updated the Second Edition, integrating new information on computer-aided text analysis. The book also includes a practical guide that incorporates experiences in teaching and how to advise academic and commercial researchers. In addition, Krippendorff clarifies the epistemology and logic of content analysis as well as the methods for achieving its aims. Intended as a textbook for advanced undergraduate and graduate students across the social sciences, Content Analysis, Second Edition will also be a valuable resource for practitioners in a variety of disciplines.","author":[{"dropping-particle":"","family":"Krippendorff","given":"Klaus","non-dropping-particle":"","parse-names":false,"suffix":""}],"edition":"(2nd ed.)","id":"ITEM-1","issued":{"date-parts":[["2004"]]},"number-of-pages":"440","publisher":"London: Sage Publications","title":"Content Analysis: An Introduction to Its Methodology","type":"book","volume":"79"},"uris":["http://www.mendeley.com/documents/?uuid=c20aabec-2f29-4a76-bcd2-e0cd5cb5280c"]}],"mendeley":{"formattedCitation":"(Krippendorff, 2004)","manualFormatting":"Krippendorff (2004)","plainTextFormattedCitation":"(Krippendorff, 2004)","previouslyFormattedCitation":"(Krippendorff, 2004)"},"properties":{"noteIndex":0},"schema":"https://github.com/citation-style-language/schema/raw/master/csl-citation.json"}</w:instrText>
      </w:r>
      <w:r w:rsidRPr="003971F1">
        <w:rPr>
          <w:rFonts w:ascii="Book Antiqua" w:hAnsi="Book Antiqua"/>
          <w:lang w:val="en-US"/>
        </w:rPr>
        <w:fldChar w:fldCharType="separate"/>
      </w:r>
      <w:r w:rsidRPr="003971F1">
        <w:rPr>
          <w:rFonts w:ascii="Book Antiqua" w:hAnsi="Book Antiqua"/>
          <w:noProof/>
          <w:lang w:val="en-US"/>
        </w:rPr>
        <w:t>Krippendorff (2004)</w:t>
      </w:r>
      <w:r w:rsidRPr="003971F1">
        <w:rPr>
          <w:rFonts w:ascii="Book Antiqua" w:hAnsi="Book Antiqua"/>
          <w:lang w:val="en-US"/>
        </w:rPr>
        <w:fldChar w:fldCharType="end"/>
      </w:r>
      <w:r w:rsidRPr="003971F1">
        <w:rPr>
          <w:rFonts w:ascii="Book Antiqua" w:hAnsi="Book Antiqua"/>
          <w:lang w:val="en-US"/>
        </w:rPr>
        <w:t xml:space="preserve"> and clustered qualitative and quantitative information into codes as they “are labels that assign symbolic meaning to the descriptive or inferential information compiled during a study” (Miles et al., 2014; p. 79). </w:t>
      </w:r>
    </w:p>
    <w:p w14:paraId="54BC3B25" w14:textId="5BCC1DA3" w:rsidR="00F76790" w:rsidRPr="003971F1" w:rsidRDefault="00F76790" w:rsidP="006E21A6">
      <w:pPr>
        <w:pStyle w:val="Titolo2"/>
      </w:pPr>
      <w:r w:rsidRPr="003971F1">
        <w:lastRenderedPageBreak/>
        <w:t>Findings</w:t>
      </w:r>
    </w:p>
    <w:p w14:paraId="74A89F23" w14:textId="17230CE7" w:rsidR="00644478" w:rsidRPr="002B57BB" w:rsidRDefault="00736E01" w:rsidP="006E21A6">
      <w:pPr>
        <w:pStyle w:val="Titolo2"/>
        <w:numPr>
          <w:ilvl w:val="1"/>
          <w:numId w:val="11"/>
        </w:numPr>
      </w:pPr>
      <w:r w:rsidRPr="002B57BB">
        <w:t xml:space="preserve">Within-case analysis </w:t>
      </w:r>
    </w:p>
    <w:p w14:paraId="1AD0C2C4" w14:textId="5EB5B354" w:rsidR="00432623" w:rsidRPr="003971F1" w:rsidRDefault="00736E01" w:rsidP="00BC6471">
      <w:pPr>
        <w:autoSpaceDE w:val="0"/>
        <w:autoSpaceDN w:val="0"/>
        <w:adjustRightInd w:val="0"/>
        <w:spacing w:after="120"/>
        <w:jc w:val="both"/>
        <w:rPr>
          <w:rFonts w:ascii="Book Antiqua" w:hAnsi="Book Antiqua"/>
          <w:lang w:val="en-US"/>
        </w:rPr>
      </w:pPr>
      <w:r w:rsidRPr="003971F1">
        <w:rPr>
          <w:rFonts w:ascii="Book Antiqua" w:hAnsi="Book Antiqua"/>
          <w:lang w:val="en-US"/>
        </w:rPr>
        <w:t>The within-case analysis synthesized the demographic information of the targeted firms and provides the b</w:t>
      </w:r>
      <w:r w:rsidR="00644478" w:rsidRPr="003971F1">
        <w:rPr>
          <w:rFonts w:ascii="Book Antiqua" w:hAnsi="Book Antiqua"/>
          <w:lang w:val="en-US"/>
        </w:rPr>
        <w:t xml:space="preserve">ackground of every single case. </w:t>
      </w:r>
      <w:r w:rsidRPr="003971F1">
        <w:rPr>
          <w:rFonts w:ascii="Book Antiqua" w:hAnsi="Book Antiqua"/>
          <w:lang w:val="en-US"/>
        </w:rPr>
        <w:t xml:space="preserve">Table </w:t>
      </w:r>
      <w:r w:rsidR="00432623">
        <w:rPr>
          <w:rFonts w:ascii="Book Antiqua" w:hAnsi="Book Antiqua"/>
          <w:lang w:val="en-US"/>
        </w:rPr>
        <w:t>1</w:t>
      </w:r>
      <w:r w:rsidRPr="003971F1">
        <w:rPr>
          <w:rFonts w:ascii="Book Antiqua" w:hAnsi="Book Antiqua"/>
          <w:lang w:val="en-US"/>
        </w:rPr>
        <w:t xml:space="preserve"> </w:t>
      </w:r>
      <w:r w:rsidR="0057060D">
        <w:rPr>
          <w:rFonts w:ascii="Book Antiqua" w:hAnsi="Book Antiqua"/>
          <w:lang w:val="en-US"/>
        </w:rPr>
        <w:t>shows</w:t>
      </w:r>
      <w:r w:rsidR="00D83CEF">
        <w:rPr>
          <w:rFonts w:ascii="Book Antiqua" w:hAnsi="Book Antiqua"/>
          <w:lang w:val="en-US"/>
        </w:rPr>
        <w:t xml:space="preserve"> the results with reference to general information on 1) ranking and score according to </w:t>
      </w:r>
      <w:r w:rsidR="00D83CEF" w:rsidRPr="003971F1">
        <w:rPr>
          <w:rFonts w:ascii="Book Antiqua" w:hAnsi="Book Antiqua"/>
          <w:lang w:val="en-US"/>
        </w:rPr>
        <w:t xml:space="preserve">the 2019 Global 100 Most Sustainable </w:t>
      </w:r>
      <w:r w:rsidR="00D83CEF">
        <w:rPr>
          <w:rFonts w:ascii="Book Antiqua" w:hAnsi="Book Antiqua"/>
          <w:lang w:val="en-US"/>
        </w:rPr>
        <w:t>Corporations in the World index; 2) industry sector; 3) number of personnel 3) total asset from the 2018 Annual Report 4) reporting document of sustainability issues; 5) adopted reporting standard.</w:t>
      </w:r>
      <w:r w:rsidR="00432623">
        <w:rPr>
          <w:rFonts w:ascii="Book Antiqua" w:hAnsi="Book Antiqua"/>
          <w:lang w:val="en-US"/>
        </w:rPr>
        <w:t xml:space="preserve"> Table 2 provides the score</w:t>
      </w:r>
      <w:r w:rsidR="006E21A6">
        <w:rPr>
          <w:rFonts w:ascii="Book Antiqua" w:hAnsi="Book Antiqua"/>
          <w:lang w:val="en-US"/>
        </w:rPr>
        <w:t xml:space="preserve"> published by the 2019 Global 100 dataset form on the Corporate Knights: Energy Productivity, Carbon Productivity, Water Productivity, Waste Productivity. Data show an interesting commitment toward environmental issues. The next section will provide general information on each company.</w:t>
      </w:r>
    </w:p>
    <w:p w14:paraId="73541554" w14:textId="39D1771F" w:rsidR="00644478" w:rsidRPr="006E21A6" w:rsidRDefault="00644478" w:rsidP="00644478">
      <w:pPr>
        <w:autoSpaceDE w:val="0"/>
        <w:autoSpaceDN w:val="0"/>
        <w:adjustRightInd w:val="0"/>
        <w:spacing w:before="240" w:after="240"/>
        <w:ind w:left="360"/>
        <w:jc w:val="both"/>
        <w:rPr>
          <w:rFonts w:ascii="Book Antiqua" w:hAnsi="Book Antiqua"/>
          <w:b/>
          <w:lang w:val="en-US"/>
        </w:rPr>
      </w:pPr>
      <w:r w:rsidRPr="006E21A6">
        <w:rPr>
          <w:rFonts w:ascii="Book Antiqua" w:hAnsi="Book Antiqua"/>
          <w:b/>
          <w:lang w:val="en-US"/>
        </w:rPr>
        <w:t>4.1.</w:t>
      </w:r>
      <w:r w:rsidR="00F6284A" w:rsidRPr="006E21A6">
        <w:rPr>
          <w:rFonts w:ascii="Book Antiqua" w:hAnsi="Book Antiqua"/>
          <w:b/>
          <w:lang w:val="en-US"/>
        </w:rPr>
        <w:t>1</w:t>
      </w:r>
      <w:r w:rsidRPr="006E21A6">
        <w:rPr>
          <w:rFonts w:ascii="Book Antiqua" w:hAnsi="Book Antiqua"/>
          <w:b/>
          <w:lang w:val="en-US"/>
        </w:rPr>
        <w:t xml:space="preserve">. ERG </w:t>
      </w:r>
      <w:proofErr w:type="spellStart"/>
      <w:r w:rsidRPr="006E21A6">
        <w:rPr>
          <w:rFonts w:ascii="Book Antiqua" w:hAnsi="Book Antiqua"/>
          <w:b/>
          <w:lang w:val="en-US"/>
        </w:rPr>
        <w:t>SpA</w:t>
      </w:r>
      <w:proofErr w:type="spellEnd"/>
      <w:r w:rsidRPr="006E21A6">
        <w:rPr>
          <w:rFonts w:ascii="Book Antiqua" w:hAnsi="Book Antiqua"/>
          <w:b/>
          <w:lang w:val="en-US"/>
        </w:rPr>
        <w:t xml:space="preserve"> (16th rank) </w:t>
      </w:r>
    </w:p>
    <w:p w14:paraId="3D32C43B" w14:textId="2E0F2967" w:rsidR="0072609D" w:rsidRDefault="0072609D" w:rsidP="00644478">
      <w:pPr>
        <w:autoSpaceDE w:val="0"/>
        <w:autoSpaceDN w:val="0"/>
        <w:adjustRightInd w:val="0"/>
        <w:spacing w:before="240" w:after="240"/>
        <w:jc w:val="both"/>
        <w:rPr>
          <w:rFonts w:ascii="Book Antiqua" w:hAnsi="Book Antiqua"/>
          <w:i/>
          <w:lang w:val="en-US"/>
        </w:rPr>
      </w:pPr>
      <w:r>
        <w:rPr>
          <w:rFonts w:ascii="Book Antiqua" w:hAnsi="Book Antiqua"/>
          <w:lang w:val="en-US"/>
        </w:rPr>
        <w:t>ERG is</w:t>
      </w:r>
      <w:r w:rsidR="00AE566F">
        <w:rPr>
          <w:rFonts w:ascii="Book Antiqua" w:hAnsi="Book Antiqua"/>
          <w:lang w:val="en-US"/>
        </w:rPr>
        <w:t xml:space="preserve"> an Italian company and works in the renewable energy sector by producing electricity using wind, water, sun </w:t>
      </w:r>
      <w:r w:rsidR="00AE566F">
        <w:rPr>
          <w:rFonts w:ascii="Book Antiqua" w:hAnsi="Book Antiqua"/>
          <w:lang w:val="en-US"/>
        </w:rPr>
        <w:tab/>
        <w:t xml:space="preserve">and natural gas. ERG was founded in 1938 as sole-proprietor firm by Dr. </w:t>
      </w:r>
      <w:proofErr w:type="spellStart"/>
      <w:r w:rsidR="00AE566F">
        <w:rPr>
          <w:rFonts w:ascii="Book Antiqua" w:hAnsi="Book Antiqua"/>
          <w:lang w:val="en-US"/>
        </w:rPr>
        <w:t>Edoardo</w:t>
      </w:r>
      <w:proofErr w:type="spellEnd"/>
      <w:r w:rsidR="00AE566F">
        <w:rPr>
          <w:rFonts w:ascii="Book Antiqua" w:hAnsi="Book Antiqua"/>
          <w:lang w:val="en-US"/>
        </w:rPr>
        <w:t xml:space="preserve"> </w:t>
      </w:r>
      <w:proofErr w:type="spellStart"/>
      <w:r w:rsidR="00AE566F">
        <w:rPr>
          <w:rFonts w:ascii="Book Antiqua" w:hAnsi="Book Antiqua"/>
          <w:lang w:val="en-US"/>
        </w:rPr>
        <w:t>Garrone</w:t>
      </w:r>
      <w:proofErr w:type="spellEnd"/>
      <w:r w:rsidR="00AE566F">
        <w:rPr>
          <w:rFonts w:ascii="Book Antiqua" w:hAnsi="Book Antiqua"/>
          <w:lang w:val="en-US"/>
        </w:rPr>
        <w:t>. The company became a refinery after the end of the Second World War with the name “ERG” namely “</w:t>
      </w:r>
      <w:proofErr w:type="spellStart"/>
      <w:r w:rsidR="00AE566F">
        <w:rPr>
          <w:rFonts w:ascii="Book Antiqua" w:hAnsi="Book Antiqua"/>
          <w:lang w:val="en-US"/>
        </w:rPr>
        <w:t>Edoardo</w:t>
      </w:r>
      <w:proofErr w:type="spellEnd"/>
      <w:r w:rsidR="00AE566F">
        <w:rPr>
          <w:rFonts w:ascii="Book Antiqua" w:hAnsi="Book Antiqua"/>
          <w:lang w:val="en-US"/>
        </w:rPr>
        <w:t xml:space="preserve"> </w:t>
      </w:r>
      <w:proofErr w:type="spellStart"/>
      <w:r w:rsidR="00AE566F">
        <w:rPr>
          <w:rFonts w:ascii="Book Antiqua" w:hAnsi="Book Antiqua"/>
          <w:lang w:val="en-US"/>
        </w:rPr>
        <w:t>Raffinerie</w:t>
      </w:r>
      <w:proofErr w:type="spellEnd"/>
      <w:r w:rsidR="00AE566F">
        <w:rPr>
          <w:rFonts w:ascii="Book Antiqua" w:hAnsi="Book Antiqua"/>
          <w:lang w:val="en-US"/>
        </w:rPr>
        <w:t xml:space="preserve"> </w:t>
      </w:r>
      <w:proofErr w:type="spellStart"/>
      <w:r w:rsidR="00AE566F">
        <w:rPr>
          <w:rFonts w:ascii="Book Antiqua" w:hAnsi="Book Antiqua"/>
          <w:lang w:val="en-US"/>
        </w:rPr>
        <w:t>Garrone</w:t>
      </w:r>
      <w:proofErr w:type="spellEnd"/>
      <w:r w:rsidR="00AE566F">
        <w:rPr>
          <w:rFonts w:ascii="Book Antiqua" w:hAnsi="Book Antiqua"/>
          <w:lang w:val="en-US"/>
        </w:rPr>
        <w:t xml:space="preserve">”. In 1997, ERG was listed to the Italian stock market and in the 2000s started to turn the core business as an oil company to a multi-energy company. In 2006, ERG entered for the first in the renewable energy sector, but the radical transformation happened between 2008 and 2015 by disinvesting from the oil sector and reinvesting in the renewable energy. In such vein, when presenting its core business, ERG </w:t>
      </w:r>
      <w:proofErr w:type="spellStart"/>
      <w:r w:rsidR="00AE566F">
        <w:rPr>
          <w:rFonts w:ascii="Book Antiqua" w:hAnsi="Book Antiqua"/>
          <w:lang w:val="en-US"/>
        </w:rPr>
        <w:t>SpA</w:t>
      </w:r>
      <w:proofErr w:type="spellEnd"/>
      <w:r w:rsidR="00AE566F">
        <w:rPr>
          <w:rFonts w:ascii="Book Antiqua" w:hAnsi="Book Antiqua"/>
          <w:lang w:val="en-US"/>
        </w:rPr>
        <w:t xml:space="preserve"> states: </w:t>
      </w:r>
      <w:r w:rsidR="00AE566F" w:rsidRPr="00AE566F">
        <w:rPr>
          <w:rFonts w:ascii="Book Antiqua" w:hAnsi="Book Antiqua"/>
          <w:i/>
          <w:lang w:val="en-US"/>
        </w:rPr>
        <w:t>“</w:t>
      </w:r>
      <w:r w:rsidR="00AE566F" w:rsidRPr="00AE566F">
        <w:rPr>
          <w:rFonts w:ascii="Book Antiqua" w:hAnsi="Book Antiqua"/>
          <w:bCs/>
          <w:i/>
          <w:lang w:val="en-US"/>
        </w:rPr>
        <w:t>Our strength comes from nature: thanks to the energy of wind, water, sun and natural gas. We are the first wind power operator in Italy and in the top ten in Europe. We can rely on a combination of sustainable energy sources that we manage with a business approach and with 80 years of history behind us”</w:t>
      </w:r>
      <w:r w:rsidR="00AE566F">
        <w:rPr>
          <w:rFonts w:ascii="Book Antiqua" w:hAnsi="Book Antiqua"/>
          <w:bCs/>
          <w:lang w:val="en-US"/>
        </w:rPr>
        <w:t xml:space="preserve">. When considering ERG’s vision of the Future, the company address its </w:t>
      </w:r>
      <w:r w:rsidR="00F60541">
        <w:rPr>
          <w:rFonts w:ascii="Book Antiqua" w:hAnsi="Book Antiqua"/>
          <w:bCs/>
          <w:lang w:val="en-US"/>
        </w:rPr>
        <w:t>future</w:t>
      </w:r>
      <w:r w:rsidR="00AE566F">
        <w:rPr>
          <w:rFonts w:ascii="Book Antiqua" w:hAnsi="Book Antiqua"/>
          <w:bCs/>
          <w:lang w:val="en-US"/>
        </w:rPr>
        <w:t xml:space="preserve"> development</w:t>
      </w:r>
      <w:r w:rsidR="00F60541">
        <w:rPr>
          <w:rFonts w:ascii="Book Antiqua" w:hAnsi="Book Antiqua"/>
          <w:bCs/>
          <w:lang w:val="en-US"/>
        </w:rPr>
        <w:t>s</w:t>
      </w:r>
      <w:r w:rsidR="00AE566F">
        <w:rPr>
          <w:rFonts w:ascii="Book Antiqua" w:hAnsi="Book Antiqua"/>
          <w:bCs/>
          <w:lang w:val="en-US"/>
        </w:rPr>
        <w:t>: “</w:t>
      </w:r>
      <w:r w:rsidR="00AE566F" w:rsidRPr="00AE566F">
        <w:rPr>
          <w:rFonts w:ascii="Book Antiqua" w:hAnsi="Book Antiqua"/>
          <w:i/>
          <w:lang w:val="en-US"/>
        </w:rPr>
        <w:t xml:space="preserve">The future we see is renewable. We will continue to move in this direction, implementing the 1.7 billion </w:t>
      </w:r>
      <w:proofErr w:type="gramStart"/>
      <w:r w:rsidR="00AE566F" w:rsidRPr="00AE566F">
        <w:rPr>
          <w:rFonts w:ascii="Book Antiqua" w:hAnsi="Book Antiqua"/>
          <w:i/>
          <w:lang w:val="en-US"/>
        </w:rPr>
        <w:t>euros</w:t>
      </w:r>
      <w:proofErr w:type="gramEnd"/>
      <w:r w:rsidR="00AE566F" w:rsidRPr="00AE566F">
        <w:rPr>
          <w:rFonts w:ascii="Book Antiqua" w:hAnsi="Book Antiqua"/>
          <w:i/>
          <w:lang w:val="en-US"/>
        </w:rPr>
        <w:t xml:space="preserve"> investment </w:t>
      </w:r>
      <w:proofErr w:type="spellStart"/>
      <w:r w:rsidR="00AE566F" w:rsidRPr="00AE566F">
        <w:rPr>
          <w:rFonts w:ascii="Book Antiqua" w:hAnsi="Book Antiqua"/>
          <w:i/>
          <w:lang w:val="en-US"/>
        </w:rPr>
        <w:t>programme</w:t>
      </w:r>
      <w:proofErr w:type="spellEnd"/>
      <w:r w:rsidR="00AE566F" w:rsidRPr="00AE566F">
        <w:rPr>
          <w:rFonts w:ascii="Book Antiqua" w:hAnsi="Book Antiqua"/>
          <w:i/>
          <w:lang w:val="en-US"/>
        </w:rPr>
        <w:t xml:space="preserve"> included in our 2018 - 2022 Business Plan, pursuing high quality projects and keeping ready to seize any opportunities that arise, applying our know-how, flexibility and financial capabilities</w:t>
      </w:r>
      <w:r w:rsidR="00AE566F">
        <w:rPr>
          <w:rFonts w:ascii="Book Antiqua" w:hAnsi="Book Antiqua"/>
          <w:i/>
          <w:lang w:val="en-US"/>
        </w:rPr>
        <w:t xml:space="preserve">”. </w:t>
      </w:r>
    </w:p>
    <w:p w14:paraId="16B429C4" w14:textId="3140290C" w:rsidR="00F6284A" w:rsidRPr="00F6284A" w:rsidRDefault="00F6284A" w:rsidP="00644478">
      <w:pPr>
        <w:autoSpaceDE w:val="0"/>
        <w:autoSpaceDN w:val="0"/>
        <w:adjustRightInd w:val="0"/>
        <w:spacing w:before="240" w:after="240"/>
        <w:jc w:val="both"/>
        <w:rPr>
          <w:rFonts w:ascii="Book Antiqua" w:hAnsi="Book Antiqua"/>
          <w:i/>
          <w:lang w:val="en-US"/>
        </w:rPr>
      </w:pPr>
      <w:r w:rsidRPr="00F6284A">
        <w:rPr>
          <w:rFonts w:ascii="Book Antiqua" w:hAnsi="Book Antiqua"/>
          <w:lang w:val="en-US"/>
        </w:rPr>
        <w:t xml:space="preserve">Furthermore, the letter to </w:t>
      </w:r>
      <w:proofErr w:type="gramStart"/>
      <w:r w:rsidRPr="00F6284A">
        <w:rPr>
          <w:rFonts w:ascii="Book Antiqua" w:hAnsi="Book Antiqua"/>
          <w:lang w:val="en-US"/>
        </w:rPr>
        <w:t>stakeholders</w:t>
      </w:r>
      <w:proofErr w:type="gramEnd"/>
      <w:r w:rsidRPr="00F6284A">
        <w:rPr>
          <w:rFonts w:ascii="Book Antiqua" w:hAnsi="Book Antiqua"/>
          <w:lang w:val="en-US"/>
        </w:rPr>
        <w:t xml:space="preserve"> claims “</w:t>
      </w:r>
      <w:r w:rsidRPr="00F6284A">
        <w:rPr>
          <w:rFonts w:ascii="Book Antiqua" w:hAnsi="Book Antiqua"/>
          <w:i/>
          <w:lang w:val="en-US"/>
        </w:rPr>
        <w:t>Our sustainability goals, defined in accordance with the Business Plan, will see us focus particular attention on the development of electricity production from renewable sources (UN SDG 7), the environment (UN SDG 6 and 15), working conditions (UN SDG 8) and welfare (UN SDG 4)</w:t>
      </w:r>
      <w:r>
        <w:rPr>
          <w:rFonts w:ascii="Book Antiqua" w:hAnsi="Book Antiqua"/>
          <w:i/>
          <w:lang w:val="en-US"/>
        </w:rPr>
        <w:t>”.</w:t>
      </w:r>
    </w:p>
    <w:p w14:paraId="6B05FE7E" w14:textId="4C048A7C" w:rsidR="00441589" w:rsidRPr="006E21A6" w:rsidRDefault="00644478" w:rsidP="00644478">
      <w:pPr>
        <w:autoSpaceDE w:val="0"/>
        <w:autoSpaceDN w:val="0"/>
        <w:adjustRightInd w:val="0"/>
        <w:spacing w:before="240" w:after="240"/>
        <w:ind w:left="360"/>
        <w:jc w:val="both"/>
        <w:rPr>
          <w:rFonts w:ascii="Book Antiqua" w:hAnsi="Book Antiqua"/>
          <w:b/>
          <w:lang w:val="en-GB"/>
        </w:rPr>
      </w:pPr>
      <w:r w:rsidRPr="006E21A6">
        <w:rPr>
          <w:rFonts w:ascii="Book Antiqua" w:hAnsi="Book Antiqua"/>
          <w:b/>
          <w:lang w:val="en-GB"/>
        </w:rPr>
        <w:t>4.1.</w:t>
      </w:r>
      <w:r w:rsidR="006E21A6" w:rsidRPr="006E21A6">
        <w:rPr>
          <w:rFonts w:ascii="Book Antiqua" w:hAnsi="Book Antiqua"/>
          <w:b/>
          <w:lang w:val="en-GB"/>
        </w:rPr>
        <w:t>2</w:t>
      </w:r>
      <w:r w:rsidRPr="006E21A6">
        <w:rPr>
          <w:rFonts w:ascii="Book Antiqua" w:hAnsi="Book Antiqua"/>
          <w:b/>
          <w:lang w:val="en-GB"/>
        </w:rPr>
        <w:t xml:space="preserve">. </w:t>
      </w:r>
      <w:r w:rsidR="00441589" w:rsidRPr="006E21A6">
        <w:rPr>
          <w:rFonts w:ascii="Book Antiqua" w:hAnsi="Book Antiqua"/>
          <w:b/>
          <w:lang w:val="en-GB"/>
        </w:rPr>
        <w:t xml:space="preserve">Intesa </w:t>
      </w:r>
      <w:proofErr w:type="spellStart"/>
      <w:r w:rsidR="00441589" w:rsidRPr="006E21A6">
        <w:rPr>
          <w:rFonts w:ascii="Book Antiqua" w:hAnsi="Book Antiqua"/>
          <w:b/>
          <w:lang w:val="en-GB"/>
        </w:rPr>
        <w:t>SanPaolo</w:t>
      </w:r>
      <w:proofErr w:type="spellEnd"/>
      <w:r w:rsidR="00441589" w:rsidRPr="006E21A6">
        <w:rPr>
          <w:rFonts w:ascii="Book Antiqua" w:hAnsi="Book Antiqua"/>
          <w:b/>
          <w:lang w:val="en-GB"/>
        </w:rPr>
        <w:t xml:space="preserve"> </w:t>
      </w:r>
      <w:r w:rsidR="00677A62" w:rsidRPr="006E21A6">
        <w:rPr>
          <w:rFonts w:ascii="Book Antiqua" w:hAnsi="Book Antiqua"/>
          <w:b/>
          <w:lang w:val="en-GB"/>
        </w:rPr>
        <w:t xml:space="preserve">Group </w:t>
      </w:r>
      <w:r w:rsidR="00441589" w:rsidRPr="006E21A6">
        <w:rPr>
          <w:rFonts w:ascii="Book Antiqua" w:hAnsi="Book Antiqua"/>
          <w:b/>
          <w:lang w:val="en-GB"/>
        </w:rPr>
        <w:t xml:space="preserve">(80th rank) </w:t>
      </w:r>
    </w:p>
    <w:p w14:paraId="0838A511" w14:textId="48FD3405" w:rsidR="00103689" w:rsidRDefault="00103689" w:rsidP="00103689">
      <w:pPr>
        <w:jc w:val="both"/>
        <w:rPr>
          <w:rFonts w:ascii="Book Antiqua" w:hAnsi="Book Antiqua"/>
          <w:i/>
          <w:lang w:val="en-US"/>
        </w:rPr>
      </w:pPr>
      <w:r w:rsidRPr="00103689">
        <w:rPr>
          <w:rFonts w:ascii="Book Antiqua" w:hAnsi="Book Antiqua"/>
          <w:lang w:val="en-GB"/>
        </w:rPr>
        <w:t xml:space="preserve">Intesa Sanpaolo </w:t>
      </w:r>
      <w:r w:rsidR="00677A62">
        <w:rPr>
          <w:rFonts w:ascii="Book Antiqua" w:hAnsi="Book Antiqua"/>
          <w:lang w:val="en-GB"/>
        </w:rPr>
        <w:t xml:space="preserve">Group </w:t>
      </w:r>
      <w:r w:rsidRPr="00103689">
        <w:rPr>
          <w:rFonts w:ascii="Book Antiqua" w:hAnsi="Book Antiqua"/>
          <w:lang w:val="en-GB"/>
        </w:rPr>
        <w:t xml:space="preserve">is an Italian banking group </w:t>
      </w:r>
      <w:r>
        <w:rPr>
          <w:rFonts w:ascii="Book Antiqua" w:hAnsi="Book Antiqua"/>
          <w:lang w:val="en-US"/>
        </w:rPr>
        <w:t xml:space="preserve">founded in 2007 through the merger of </w:t>
      </w:r>
      <w:r w:rsidRPr="00103689">
        <w:rPr>
          <w:rFonts w:ascii="Book Antiqua" w:hAnsi="Book Antiqua"/>
          <w:lang w:val="en-US"/>
        </w:rPr>
        <w:t>Banca Intesa and Sanpaolo IMI</w:t>
      </w:r>
      <w:r w:rsidR="00677A62">
        <w:rPr>
          <w:rFonts w:ascii="Book Antiqua" w:hAnsi="Book Antiqua"/>
          <w:lang w:val="en-US"/>
        </w:rPr>
        <w:t xml:space="preserve">. The former was established in 1998 from the merger of Cariplo and Banco Ambrosiano Veneto, whereas the latter derived from the merger of </w:t>
      </w:r>
      <w:proofErr w:type="spellStart"/>
      <w:r w:rsidR="00677A62">
        <w:rPr>
          <w:rFonts w:ascii="Book Antiqua" w:hAnsi="Book Antiqua"/>
          <w:lang w:val="en-US"/>
        </w:rPr>
        <w:t>Istituto</w:t>
      </w:r>
      <w:proofErr w:type="spellEnd"/>
      <w:r w:rsidR="00677A62">
        <w:rPr>
          <w:rFonts w:ascii="Book Antiqua" w:hAnsi="Book Antiqua"/>
          <w:lang w:val="en-US"/>
        </w:rPr>
        <w:t xml:space="preserve"> </w:t>
      </w:r>
      <w:proofErr w:type="spellStart"/>
      <w:r w:rsidR="00677A62">
        <w:rPr>
          <w:rFonts w:ascii="Book Antiqua" w:hAnsi="Book Antiqua"/>
          <w:lang w:val="en-US"/>
        </w:rPr>
        <w:t>Bancario</w:t>
      </w:r>
      <w:proofErr w:type="spellEnd"/>
      <w:r w:rsidR="00677A62">
        <w:rPr>
          <w:rFonts w:ascii="Book Antiqua" w:hAnsi="Book Antiqua"/>
          <w:lang w:val="en-US"/>
        </w:rPr>
        <w:t xml:space="preserve"> San Paolo di Torino and IMI (</w:t>
      </w:r>
      <w:proofErr w:type="spellStart"/>
      <w:r w:rsidR="00677A62">
        <w:rPr>
          <w:rFonts w:ascii="Book Antiqua" w:hAnsi="Book Antiqua"/>
          <w:lang w:val="en-US"/>
        </w:rPr>
        <w:t>Istituto</w:t>
      </w:r>
      <w:proofErr w:type="spellEnd"/>
      <w:r w:rsidR="00677A62">
        <w:rPr>
          <w:rFonts w:ascii="Book Antiqua" w:hAnsi="Book Antiqua"/>
          <w:lang w:val="en-US"/>
        </w:rPr>
        <w:t xml:space="preserve"> </w:t>
      </w:r>
      <w:proofErr w:type="spellStart"/>
      <w:r w:rsidR="00677A62">
        <w:rPr>
          <w:rFonts w:ascii="Book Antiqua" w:hAnsi="Book Antiqua"/>
          <w:lang w:val="en-US"/>
        </w:rPr>
        <w:t>Mobiliare</w:t>
      </w:r>
      <w:proofErr w:type="spellEnd"/>
      <w:r w:rsidR="00677A62">
        <w:rPr>
          <w:rFonts w:ascii="Book Antiqua" w:hAnsi="Book Antiqua"/>
          <w:lang w:val="en-US"/>
        </w:rPr>
        <w:t xml:space="preserve"> Italiano) which was a public entity founded in 1931. Today, Intesa Sanpaolo Group is the country’s leading banking group as it has 11.8 million customers and approximately </w:t>
      </w:r>
      <w:r w:rsidR="00677A62">
        <w:rPr>
          <w:rFonts w:ascii="Book Antiqua" w:hAnsi="Book Antiqua"/>
          <w:lang w:val="en-US"/>
        </w:rPr>
        <w:lastRenderedPageBreak/>
        <w:t xml:space="preserve">4,100 branches in Italy. </w:t>
      </w:r>
      <w:r w:rsidR="00F60541">
        <w:rPr>
          <w:rFonts w:ascii="Book Antiqua" w:hAnsi="Book Antiqua"/>
          <w:lang w:val="en-US"/>
        </w:rPr>
        <w:t xml:space="preserve">It provides financial products and services to both households and businesses in Italy. The banking group builds its identity on </w:t>
      </w:r>
      <w:r w:rsidR="00F60541" w:rsidRPr="00EA11E2">
        <w:rPr>
          <w:rFonts w:ascii="Book Antiqua" w:hAnsi="Book Antiqua"/>
          <w:i/>
          <w:lang w:val="en-US"/>
        </w:rPr>
        <w:t>“integrity”</w:t>
      </w:r>
      <w:r w:rsidR="00F60541">
        <w:rPr>
          <w:rFonts w:ascii="Book Antiqua" w:hAnsi="Book Antiqua"/>
          <w:lang w:val="en-US"/>
        </w:rPr>
        <w:t xml:space="preserve">, </w:t>
      </w:r>
      <w:r w:rsidR="00F60541" w:rsidRPr="00EA11E2">
        <w:rPr>
          <w:rFonts w:ascii="Book Antiqua" w:hAnsi="Book Antiqua"/>
          <w:i/>
          <w:lang w:val="en-US"/>
        </w:rPr>
        <w:t>“excellence”</w:t>
      </w:r>
      <w:r w:rsidR="00F60541">
        <w:rPr>
          <w:rFonts w:ascii="Book Antiqua" w:hAnsi="Book Antiqua"/>
          <w:lang w:val="en-US"/>
        </w:rPr>
        <w:t xml:space="preserve">, </w:t>
      </w:r>
      <w:r w:rsidR="00F60541" w:rsidRPr="00EA11E2">
        <w:rPr>
          <w:rFonts w:ascii="Book Antiqua" w:hAnsi="Book Antiqua"/>
          <w:i/>
          <w:lang w:val="en-US"/>
        </w:rPr>
        <w:t>“transparency”</w:t>
      </w:r>
      <w:r w:rsidR="00F60541">
        <w:rPr>
          <w:rFonts w:ascii="Book Antiqua" w:hAnsi="Book Antiqua"/>
          <w:lang w:val="en-US"/>
        </w:rPr>
        <w:t xml:space="preserve">, </w:t>
      </w:r>
      <w:r w:rsidR="00F60541" w:rsidRPr="00EA11E2">
        <w:rPr>
          <w:rFonts w:ascii="Book Antiqua" w:hAnsi="Book Antiqua"/>
          <w:i/>
          <w:lang w:val="en-US"/>
        </w:rPr>
        <w:t>“respect for specific qualities”</w:t>
      </w:r>
      <w:r w:rsidR="00F60541">
        <w:rPr>
          <w:rFonts w:ascii="Book Antiqua" w:hAnsi="Book Antiqua"/>
          <w:lang w:val="en-US"/>
        </w:rPr>
        <w:t xml:space="preserve">, </w:t>
      </w:r>
      <w:r w:rsidR="00F60541" w:rsidRPr="00EA11E2">
        <w:rPr>
          <w:rFonts w:ascii="Book Antiqua" w:hAnsi="Book Antiqua"/>
          <w:i/>
          <w:lang w:val="en-US"/>
        </w:rPr>
        <w:t>“equality”,</w:t>
      </w:r>
      <w:r w:rsidR="00F60541">
        <w:rPr>
          <w:rFonts w:ascii="Book Antiqua" w:hAnsi="Book Antiqua"/>
          <w:lang w:val="en-US"/>
        </w:rPr>
        <w:t xml:space="preserve"> </w:t>
      </w:r>
      <w:r w:rsidR="00F60541" w:rsidRPr="00EA11E2">
        <w:rPr>
          <w:rFonts w:ascii="Book Antiqua" w:hAnsi="Book Antiqua"/>
          <w:i/>
          <w:lang w:val="en-US"/>
        </w:rPr>
        <w:t>“values of the individual”</w:t>
      </w:r>
      <w:r w:rsidR="00F60541">
        <w:rPr>
          <w:rFonts w:ascii="Book Antiqua" w:hAnsi="Book Antiqua"/>
          <w:lang w:val="en-US"/>
        </w:rPr>
        <w:t xml:space="preserve"> and </w:t>
      </w:r>
      <w:r w:rsidR="00F60541" w:rsidRPr="00EA11E2">
        <w:rPr>
          <w:rFonts w:ascii="Book Antiqua" w:hAnsi="Book Antiqua"/>
          <w:i/>
          <w:lang w:val="en-US"/>
        </w:rPr>
        <w:t>“responsibility in the use of resources”</w:t>
      </w:r>
      <w:r w:rsidR="00F60541">
        <w:rPr>
          <w:rFonts w:ascii="Book Antiqua" w:hAnsi="Book Antiqua"/>
          <w:lang w:val="en-US"/>
        </w:rPr>
        <w:t xml:space="preserve">. In this regard, the Group </w:t>
      </w:r>
      <w:r w:rsidR="00F60541" w:rsidRPr="00EA11E2">
        <w:rPr>
          <w:rFonts w:ascii="Book Antiqua" w:hAnsi="Book Antiqua"/>
          <w:lang w:val="en-US"/>
        </w:rPr>
        <w:t>promote</w:t>
      </w:r>
      <w:r w:rsidR="00EA11E2">
        <w:rPr>
          <w:rFonts w:ascii="Book Antiqua" w:hAnsi="Book Antiqua"/>
          <w:lang w:val="en-US"/>
        </w:rPr>
        <w:t>s</w:t>
      </w:r>
      <w:r w:rsidR="00F60541" w:rsidRPr="00EA11E2">
        <w:rPr>
          <w:rFonts w:ascii="Book Antiqua" w:hAnsi="Book Antiqua"/>
          <w:i/>
          <w:lang w:val="en-US"/>
        </w:rPr>
        <w:t xml:space="preserve"> </w:t>
      </w:r>
      <w:r w:rsidR="00EA11E2">
        <w:rPr>
          <w:rFonts w:ascii="Book Antiqua" w:hAnsi="Book Antiqua"/>
          <w:i/>
          <w:lang w:val="en-US"/>
        </w:rPr>
        <w:t>“</w:t>
      </w:r>
      <w:r w:rsidR="00F60541" w:rsidRPr="00EA11E2">
        <w:rPr>
          <w:rFonts w:ascii="Book Antiqua" w:hAnsi="Book Antiqua"/>
          <w:i/>
          <w:lang w:val="en-US"/>
        </w:rPr>
        <w:t>a style</w:t>
      </w:r>
      <w:r w:rsidR="00EA11E2" w:rsidRPr="00EA11E2">
        <w:rPr>
          <w:rFonts w:ascii="Book Antiqua" w:hAnsi="Book Antiqua"/>
          <w:i/>
          <w:lang w:val="en-US"/>
        </w:rPr>
        <w:t xml:space="preserve"> of growth that is attentive to financial strength and capital solidity, </w:t>
      </w:r>
      <w:r w:rsidR="00F60541" w:rsidRPr="00EA11E2">
        <w:rPr>
          <w:rFonts w:ascii="Book Antiqua" w:hAnsi="Book Antiqua"/>
          <w:i/>
          <w:lang w:val="en-US"/>
        </w:rPr>
        <w:t>sustainable results and the creation of a process based on the trust deriving from customer and shareholder satisfaction, a sense of belonging on the part of our employees and close monitoring of the needs of the community and the local area</w:t>
      </w:r>
      <w:r w:rsidR="00EA11E2">
        <w:rPr>
          <w:rFonts w:ascii="Book Antiqua" w:hAnsi="Book Antiqua"/>
          <w:i/>
          <w:lang w:val="en-US"/>
        </w:rPr>
        <w:t>”.</w:t>
      </w:r>
    </w:p>
    <w:p w14:paraId="2CE9ACEF" w14:textId="3A558DD6" w:rsidR="00F6284A" w:rsidRPr="00F6284A" w:rsidRDefault="00F6284A" w:rsidP="00103689">
      <w:pPr>
        <w:jc w:val="both"/>
        <w:rPr>
          <w:rFonts w:ascii="Book Antiqua" w:hAnsi="Book Antiqua"/>
          <w:lang w:val="en-US"/>
        </w:rPr>
      </w:pPr>
      <w:r w:rsidRPr="00F6284A">
        <w:rPr>
          <w:rFonts w:ascii="Book Antiqua" w:hAnsi="Book Antiqua"/>
          <w:lang w:val="en-US"/>
        </w:rPr>
        <w:t xml:space="preserve">In the letter to stakeholder, a clear commitment towards the environment has been sort out: </w:t>
      </w:r>
      <w:r>
        <w:rPr>
          <w:rFonts w:ascii="Book Antiqua" w:hAnsi="Book Antiqua"/>
          <w:lang w:val="en-US"/>
        </w:rPr>
        <w:t>“</w:t>
      </w:r>
      <w:r w:rsidRPr="00F6284A">
        <w:rPr>
          <w:rFonts w:ascii="Book Antiqua" w:hAnsi="Book Antiqua"/>
          <w:i/>
          <w:lang w:val="en-US"/>
        </w:rPr>
        <w:t>Intesa Sanpaolo’s environmental commitment has ensured the continuity of the CO2 emission containment measures, thanks to a multi-year action plan, and also of the support for the development of the green economy, with loans totaling over 1.9 billion euro disbursed in 2018</w:t>
      </w:r>
      <w:r>
        <w:rPr>
          <w:rFonts w:ascii="Book Antiqua" w:hAnsi="Book Antiqua"/>
          <w:i/>
          <w:lang w:val="en-US"/>
        </w:rPr>
        <w:t>”.</w:t>
      </w:r>
      <w:r w:rsidRPr="00F6284A">
        <w:rPr>
          <w:rFonts w:ascii="Book Antiqua" w:hAnsi="Book Antiqua"/>
          <w:i/>
          <w:lang w:val="en-US"/>
        </w:rPr>
        <w:t xml:space="preserve">  </w:t>
      </w:r>
    </w:p>
    <w:p w14:paraId="55FE2570" w14:textId="144C890D" w:rsidR="00644478" w:rsidRPr="002B57BB" w:rsidRDefault="00183B3B" w:rsidP="006E21A6">
      <w:pPr>
        <w:pStyle w:val="Titolo2"/>
        <w:numPr>
          <w:ilvl w:val="1"/>
          <w:numId w:val="11"/>
        </w:numPr>
      </w:pPr>
      <w:r w:rsidRPr="002B57BB">
        <w:t>Cross</w:t>
      </w:r>
      <w:r w:rsidR="00644478" w:rsidRPr="002B57BB">
        <w:t xml:space="preserve">-case analysis </w:t>
      </w:r>
    </w:p>
    <w:p w14:paraId="28D96C46" w14:textId="654192FB" w:rsidR="00BB4493" w:rsidRDefault="002B57BB" w:rsidP="008B3A0A">
      <w:pPr>
        <w:jc w:val="both"/>
        <w:rPr>
          <w:rFonts w:ascii="Book Antiqua" w:hAnsi="Book Antiqua"/>
          <w:lang w:val="en-US"/>
        </w:rPr>
      </w:pPr>
      <w:r w:rsidRPr="004B1497">
        <w:rPr>
          <w:rFonts w:ascii="Book Antiqua" w:hAnsi="Book Antiqua"/>
          <w:lang w:val="en-US"/>
        </w:rPr>
        <w:t>With regard to the cross-case analysis, we considered the activities for and within the natural environment which companies declared as practices</w:t>
      </w:r>
      <w:r w:rsidR="00D14AA2">
        <w:rPr>
          <w:rFonts w:ascii="Book Antiqua" w:hAnsi="Book Antiqua"/>
          <w:lang w:val="en-US"/>
        </w:rPr>
        <w:t xml:space="preserve">. </w:t>
      </w:r>
      <w:r w:rsidR="005B73D7" w:rsidRPr="004B1497">
        <w:rPr>
          <w:rFonts w:ascii="Book Antiqua" w:hAnsi="Book Antiqua"/>
          <w:lang w:val="en-US"/>
        </w:rPr>
        <w:t>The categories were inductively derived in reading the sustainability reports</w:t>
      </w:r>
      <w:r w:rsidR="00D14AA2">
        <w:rPr>
          <w:rFonts w:ascii="Book Antiqua" w:hAnsi="Book Antiqua"/>
          <w:lang w:val="en-US"/>
        </w:rPr>
        <w:t xml:space="preserve"> and </w:t>
      </w:r>
      <w:r w:rsidR="005B73D7" w:rsidRPr="004B1497">
        <w:rPr>
          <w:rFonts w:ascii="Book Antiqua" w:hAnsi="Book Antiqua"/>
          <w:lang w:val="en-US"/>
        </w:rPr>
        <w:t xml:space="preserve">addressed to differentiate the </w:t>
      </w:r>
      <w:r w:rsidR="00D14AA2">
        <w:rPr>
          <w:rFonts w:ascii="Book Antiqua" w:hAnsi="Book Antiqua"/>
          <w:lang w:val="en-US"/>
        </w:rPr>
        <w:t>e</w:t>
      </w:r>
      <w:r w:rsidR="00EA11E2">
        <w:rPr>
          <w:rFonts w:ascii="Book Antiqua" w:hAnsi="Book Antiqua"/>
          <w:lang w:val="en-US"/>
        </w:rPr>
        <w:t>nvironmental practices</w:t>
      </w:r>
      <w:r w:rsidR="00D14AA2">
        <w:rPr>
          <w:rFonts w:ascii="Book Antiqua" w:hAnsi="Book Antiqua"/>
          <w:lang w:val="en-US"/>
        </w:rPr>
        <w:t xml:space="preserve">. They </w:t>
      </w:r>
      <w:r w:rsidR="008B3A0A">
        <w:rPr>
          <w:rFonts w:ascii="Book Antiqua" w:hAnsi="Book Antiqua"/>
          <w:lang w:val="en-US"/>
        </w:rPr>
        <w:t>are</w:t>
      </w:r>
      <w:r w:rsidR="00D14AA2">
        <w:rPr>
          <w:rFonts w:ascii="Book Antiqua" w:hAnsi="Book Antiqua"/>
          <w:lang w:val="en-US"/>
        </w:rPr>
        <w:t xml:space="preserve"> fight global warming, reducing green</w:t>
      </w:r>
      <w:r w:rsidR="008B3A0A">
        <w:rPr>
          <w:rFonts w:ascii="Book Antiqua" w:hAnsi="Book Antiqua"/>
          <w:lang w:val="en-US"/>
        </w:rPr>
        <w:t xml:space="preserve">house gas emission, development of energy resources, taking into account visual and noise impact of plants, treatment of effluents and waste, eco-friendly technologies, circular economy projects, supplier environmental assessment, protecting and managing biodiversity, loans and service for green culture and green culture initiatives. Table 3 </w:t>
      </w:r>
      <w:r w:rsidR="00D83CEF">
        <w:rPr>
          <w:rFonts w:ascii="Book Antiqua" w:hAnsi="Book Antiqua"/>
          <w:lang w:val="en-US"/>
        </w:rPr>
        <w:t>summariz</w:t>
      </w:r>
      <w:r w:rsidR="008B3A0A">
        <w:rPr>
          <w:rFonts w:ascii="Book Antiqua" w:hAnsi="Book Antiqua"/>
          <w:lang w:val="en-US"/>
        </w:rPr>
        <w:t>e</w:t>
      </w:r>
      <w:r w:rsidR="006E21A6">
        <w:rPr>
          <w:rFonts w:ascii="Book Antiqua" w:hAnsi="Book Antiqua"/>
          <w:lang w:val="en-US"/>
        </w:rPr>
        <w:t>s</w:t>
      </w:r>
      <w:r w:rsidR="00D83CEF">
        <w:rPr>
          <w:rFonts w:ascii="Book Antiqua" w:hAnsi="Book Antiqua"/>
          <w:lang w:val="en-US"/>
        </w:rPr>
        <w:t xml:space="preserve"> </w:t>
      </w:r>
      <w:r w:rsidR="008B3A0A">
        <w:rPr>
          <w:rFonts w:ascii="Book Antiqua" w:hAnsi="Book Antiqua"/>
          <w:lang w:val="en-US"/>
        </w:rPr>
        <w:t>the all</w:t>
      </w:r>
      <w:r w:rsidR="00D83CEF">
        <w:rPr>
          <w:rFonts w:ascii="Book Antiqua" w:hAnsi="Book Antiqua"/>
          <w:lang w:val="en-US"/>
        </w:rPr>
        <w:t xml:space="preserve"> environmental </w:t>
      </w:r>
      <w:r w:rsidR="008B3A0A">
        <w:rPr>
          <w:rFonts w:ascii="Book Antiqua" w:hAnsi="Book Antiqua"/>
          <w:lang w:val="en-US"/>
        </w:rPr>
        <w:t>practices</w:t>
      </w:r>
      <w:r w:rsidR="00D83CEF">
        <w:rPr>
          <w:rFonts w:ascii="Book Antiqua" w:hAnsi="Book Antiqua"/>
          <w:lang w:val="en-US"/>
        </w:rPr>
        <w:t xml:space="preserve"> taken into account and</w:t>
      </w:r>
      <w:r w:rsidR="008B3A0A">
        <w:rPr>
          <w:rFonts w:ascii="Book Antiqua" w:hAnsi="Book Antiqua"/>
          <w:lang w:val="en-US"/>
        </w:rPr>
        <w:t xml:space="preserve"> present related </w:t>
      </w:r>
      <w:r w:rsidR="00D83CEF">
        <w:rPr>
          <w:rFonts w:ascii="Book Antiqua" w:hAnsi="Book Antiqua"/>
          <w:lang w:val="en-US"/>
        </w:rPr>
        <w:t>quotes</w:t>
      </w:r>
      <w:r w:rsidR="008B3A0A">
        <w:rPr>
          <w:rFonts w:ascii="Book Antiqua" w:hAnsi="Book Antiqua"/>
          <w:lang w:val="en-US"/>
        </w:rPr>
        <w:t xml:space="preserve"> to enrich the disclosure of such environmental actions</w:t>
      </w:r>
      <w:r w:rsidR="00D83CEF">
        <w:rPr>
          <w:rFonts w:ascii="Book Antiqua" w:hAnsi="Book Antiqua"/>
          <w:lang w:val="en-US"/>
        </w:rPr>
        <w:t xml:space="preserve">. </w:t>
      </w:r>
      <w:r w:rsidR="008B3A0A">
        <w:rPr>
          <w:rFonts w:ascii="Book Antiqua" w:hAnsi="Book Antiqua"/>
          <w:lang w:val="en-US"/>
        </w:rPr>
        <w:t xml:space="preserve">Such a disclosure is the starting point for an </w:t>
      </w:r>
      <w:r w:rsidR="00BB4493" w:rsidRPr="00A50AE7">
        <w:rPr>
          <w:rFonts w:ascii="Book Antiqua" w:hAnsi="Book Antiqua"/>
          <w:lang w:val="en-US"/>
        </w:rPr>
        <w:t xml:space="preserve">engaging arena of debate over </w:t>
      </w:r>
      <w:r w:rsidR="008B3A0A">
        <w:rPr>
          <w:rFonts w:ascii="Book Antiqua" w:hAnsi="Book Antiqua"/>
          <w:lang w:val="en-US"/>
        </w:rPr>
        <w:t>environmental initiatives</w:t>
      </w:r>
      <w:r w:rsidR="00BB4493" w:rsidRPr="00A50AE7">
        <w:rPr>
          <w:rFonts w:ascii="Book Antiqua" w:hAnsi="Book Antiqua"/>
          <w:lang w:val="en-US"/>
        </w:rPr>
        <w:t xml:space="preserve"> </w:t>
      </w:r>
      <w:r w:rsidR="008B3A0A">
        <w:rPr>
          <w:rFonts w:ascii="Book Antiqua" w:hAnsi="Book Antiqua"/>
          <w:lang w:val="en-US"/>
        </w:rPr>
        <w:t>to improve it further. What is missing here is the disclosure around new projects on revolutionizing urban infrastructures, and co-creation for future plants</w:t>
      </w:r>
      <w:r w:rsidR="002106A7">
        <w:rPr>
          <w:rFonts w:ascii="Book Antiqua" w:hAnsi="Book Antiqua"/>
          <w:lang w:val="en-US"/>
        </w:rPr>
        <w:t xml:space="preserve"> as activities which are already taken into account in other realities (e.g. Finland). </w:t>
      </w:r>
    </w:p>
    <w:p w14:paraId="041F0F67" w14:textId="77777777" w:rsidR="00F6284A" w:rsidRDefault="00F6284A" w:rsidP="001D6D53">
      <w:pPr>
        <w:jc w:val="both"/>
        <w:rPr>
          <w:rFonts w:ascii="Book Antiqua" w:hAnsi="Book Antiqua"/>
          <w:lang w:val="en-US"/>
        </w:rPr>
      </w:pPr>
    </w:p>
    <w:p w14:paraId="0FC004F1" w14:textId="69AE7C75" w:rsidR="00E71EE0" w:rsidRPr="006E21A6" w:rsidRDefault="00B347C8" w:rsidP="006E21A6">
      <w:pPr>
        <w:pStyle w:val="Titolo2"/>
      </w:pPr>
      <w:r w:rsidRPr="006E21A6">
        <w:t>Discussion and conclusion</w:t>
      </w:r>
    </w:p>
    <w:p w14:paraId="48A003B6" w14:textId="6DC98365" w:rsidR="004D1C39" w:rsidRDefault="00754B4B" w:rsidP="00410CB9">
      <w:pPr>
        <w:autoSpaceDE w:val="0"/>
        <w:autoSpaceDN w:val="0"/>
        <w:adjustRightInd w:val="0"/>
        <w:spacing w:after="120"/>
        <w:jc w:val="both"/>
        <w:rPr>
          <w:rFonts w:ascii="Book Antiqua" w:hAnsi="Book Antiqua"/>
          <w:lang w:val="en-US"/>
        </w:rPr>
      </w:pPr>
      <w:r w:rsidRPr="003971F1">
        <w:rPr>
          <w:rFonts w:ascii="Book Antiqua" w:hAnsi="Book Antiqua"/>
          <w:lang w:val="en-US"/>
        </w:rPr>
        <w:t>The present exploratory research</w:t>
      </w:r>
      <w:r w:rsidR="00641978">
        <w:rPr>
          <w:rFonts w:ascii="Book Antiqua" w:hAnsi="Book Antiqua"/>
          <w:lang w:val="en-US"/>
        </w:rPr>
        <w:t xml:space="preserve"> in its embryonic form</w:t>
      </w:r>
      <w:r w:rsidRPr="003971F1">
        <w:rPr>
          <w:rFonts w:ascii="Book Antiqua" w:hAnsi="Book Antiqua"/>
          <w:lang w:val="en-US"/>
        </w:rPr>
        <w:t xml:space="preserve"> </w:t>
      </w:r>
      <w:r w:rsidR="004D1C39">
        <w:rPr>
          <w:rFonts w:ascii="Book Antiqua" w:hAnsi="Book Antiqua"/>
          <w:lang w:val="en-US"/>
        </w:rPr>
        <w:t>att</w:t>
      </w:r>
      <w:r w:rsidR="008B3A0A">
        <w:rPr>
          <w:rFonts w:ascii="Book Antiqua" w:hAnsi="Book Antiqua"/>
          <w:lang w:val="en-US"/>
        </w:rPr>
        <w:t>empted to examine the disclosure of environmental practices</w:t>
      </w:r>
      <w:r w:rsidR="004D1C39">
        <w:rPr>
          <w:rFonts w:ascii="Book Antiqua" w:hAnsi="Book Antiqua"/>
          <w:lang w:val="en-US"/>
        </w:rPr>
        <w:t xml:space="preserve"> </w:t>
      </w:r>
      <w:r w:rsidR="008B3A0A">
        <w:rPr>
          <w:rFonts w:ascii="Book Antiqua" w:hAnsi="Book Antiqua"/>
          <w:lang w:val="en-US"/>
        </w:rPr>
        <w:t xml:space="preserve">choosing the most sustainable companies in Italy. </w:t>
      </w:r>
    </w:p>
    <w:p w14:paraId="760A7213" w14:textId="4009B8ED" w:rsidR="00641978" w:rsidRDefault="00F90069" w:rsidP="00410CB9">
      <w:pPr>
        <w:autoSpaceDE w:val="0"/>
        <w:autoSpaceDN w:val="0"/>
        <w:adjustRightInd w:val="0"/>
        <w:spacing w:after="120"/>
        <w:jc w:val="both"/>
        <w:rPr>
          <w:rFonts w:ascii="Book Antiqua" w:hAnsi="Book Antiqua"/>
          <w:lang w:val="en-US"/>
        </w:rPr>
      </w:pPr>
      <w:r>
        <w:rPr>
          <w:rFonts w:ascii="Book Antiqua" w:hAnsi="Book Antiqua"/>
          <w:lang w:val="en-US"/>
        </w:rPr>
        <w:t xml:space="preserve">The analyzed cases have been informative to address the environmental commitment, the list of environmental practices companies are currently taking into account and the related ways of engagement. Companies are well aware on global warming, and environmental concerns, as they </w:t>
      </w:r>
      <w:r w:rsidR="00641978">
        <w:rPr>
          <w:rFonts w:ascii="Book Antiqua" w:hAnsi="Book Antiqua"/>
          <w:lang w:val="en-US"/>
        </w:rPr>
        <w:t>posit</w:t>
      </w:r>
      <w:r>
        <w:rPr>
          <w:rFonts w:ascii="Book Antiqua" w:hAnsi="Book Antiqua"/>
          <w:lang w:val="en-US"/>
        </w:rPr>
        <w:t xml:space="preserve"> their commitments </w:t>
      </w:r>
      <w:r w:rsidR="00641978">
        <w:rPr>
          <w:rFonts w:ascii="Book Antiqua" w:hAnsi="Book Antiqua"/>
          <w:lang w:val="en-US"/>
        </w:rPr>
        <w:t xml:space="preserve">and caring for the environment at the forefront of their mission. The list of environmental practices ranges from managing biodiversity to developing circular economy projects, and revolutionizing urban infrastructure. It should be noted that companies are keen to enhance environmental activities at the core of their business, which means that they are likely to adopt an integrated logic of company responsibility (Freeman et al., 2010). Regarding the business engagement practices, it seems to prevail a two-way relation </w:t>
      </w:r>
      <w:r w:rsidR="00641978">
        <w:rPr>
          <w:rFonts w:ascii="Book Antiqua" w:hAnsi="Book Antiqua"/>
          <w:lang w:val="en-US"/>
        </w:rPr>
        <w:lastRenderedPageBreak/>
        <w:t xml:space="preserve">in form of a dialogue under a “listening approach”, which is the necessary step to further pursue common interests partnering with each other. </w:t>
      </w:r>
    </w:p>
    <w:p w14:paraId="3425397F" w14:textId="3D26FB52" w:rsidR="00410CB9" w:rsidRDefault="004D1C39" w:rsidP="004D1C39">
      <w:pPr>
        <w:autoSpaceDE w:val="0"/>
        <w:autoSpaceDN w:val="0"/>
        <w:adjustRightInd w:val="0"/>
        <w:spacing w:after="120"/>
        <w:jc w:val="both"/>
        <w:rPr>
          <w:rFonts w:ascii="Book Antiqua" w:hAnsi="Book Antiqua"/>
          <w:lang w:val="en-US"/>
        </w:rPr>
      </w:pPr>
      <w:r>
        <w:rPr>
          <w:rFonts w:ascii="Book Antiqua" w:hAnsi="Book Antiqua"/>
          <w:lang w:val="en-US"/>
        </w:rPr>
        <w:t>The analysis has several limitations needed to take into account in further developments of this research project</w:t>
      </w:r>
      <w:r w:rsidR="00754B4B" w:rsidRPr="003971F1">
        <w:rPr>
          <w:rFonts w:ascii="Book Antiqua" w:hAnsi="Book Antiqua"/>
          <w:lang w:val="en-US"/>
        </w:rPr>
        <w:t xml:space="preserve">. </w:t>
      </w:r>
      <w:r>
        <w:rPr>
          <w:rFonts w:ascii="Book Antiqua" w:hAnsi="Book Antiqua"/>
          <w:lang w:val="en-US"/>
        </w:rPr>
        <w:t>First, the study</w:t>
      </w:r>
      <w:r w:rsidR="00754B4B" w:rsidRPr="003971F1">
        <w:rPr>
          <w:rFonts w:ascii="Book Antiqua" w:hAnsi="Book Antiqua"/>
          <w:lang w:val="en-US"/>
        </w:rPr>
        <w:t xml:space="preserve"> focused on only </w:t>
      </w:r>
      <w:r w:rsidR="00270B0E">
        <w:rPr>
          <w:rFonts w:ascii="Book Antiqua" w:hAnsi="Book Antiqua"/>
          <w:lang w:val="en-US"/>
        </w:rPr>
        <w:t>four</w:t>
      </w:r>
      <w:r w:rsidR="00754B4B" w:rsidRPr="003971F1">
        <w:rPr>
          <w:rFonts w:ascii="Book Antiqua" w:hAnsi="Book Antiqua"/>
          <w:lang w:val="en-US"/>
        </w:rPr>
        <w:t xml:space="preserve"> cases and based only secondary sources of information. We fully acknowledge the necessity to enrich and expand these preliminary insights through the inclusion of more cases. The only </w:t>
      </w:r>
      <w:r w:rsidR="00270B0E">
        <w:rPr>
          <w:rFonts w:ascii="Book Antiqua" w:hAnsi="Book Antiqua"/>
          <w:lang w:val="en-US"/>
        </w:rPr>
        <w:t>four</w:t>
      </w:r>
      <w:r w:rsidR="00754B4B" w:rsidRPr="003971F1">
        <w:rPr>
          <w:rFonts w:ascii="Book Antiqua" w:hAnsi="Book Antiqua"/>
          <w:lang w:val="en-US"/>
        </w:rPr>
        <w:t xml:space="preserve"> observed cases belong to different sector, which obviously </w:t>
      </w:r>
      <w:r w:rsidR="00D6451D" w:rsidRPr="003971F1">
        <w:rPr>
          <w:rFonts w:ascii="Book Antiqua" w:hAnsi="Book Antiqua"/>
          <w:lang w:val="en-US"/>
        </w:rPr>
        <w:t xml:space="preserve">jeopardize the comparability of data as environmental action are generally promoted closely to the business. </w:t>
      </w:r>
      <w:r>
        <w:rPr>
          <w:rFonts w:ascii="Book Antiqua" w:hAnsi="Book Antiqua"/>
          <w:lang w:val="en-US"/>
        </w:rPr>
        <w:t>Second, a</w:t>
      </w:r>
      <w:r w:rsidR="00410CB9">
        <w:rPr>
          <w:rFonts w:ascii="Book Antiqua" w:hAnsi="Book Antiqua"/>
          <w:lang w:val="en-US"/>
        </w:rPr>
        <w:t>nother concern can be circumscribed around the mere analysis of sustainability reports which “</w:t>
      </w:r>
      <w:r w:rsidR="00270B0E" w:rsidRPr="00410CB9">
        <w:rPr>
          <w:rFonts w:ascii="Book Antiqua" w:hAnsi="Book Antiqua"/>
          <w:lang w:val="en-US"/>
        </w:rPr>
        <w:t>may speak on behalf o</w:t>
      </w:r>
      <w:r w:rsidR="00410CB9">
        <w:rPr>
          <w:rFonts w:ascii="Book Antiqua" w:hAnsi="Book Antiqua"/>
          <w:lang w:val="en-US"/>
        </w:rPr>
        <w:t xml:space="preserve">f reporting firms with messages </w:t>
      </w:r>
      <w:r w:rsidR="00270B0E" w:rsidRPr="00410CB9">
        <w:rPr>
          <w:rFonts w:ascii="Book Antiqua" w:hAnsi="Book Antiqua"/>
          <w:lang w:val="en-US"/>
        </w:rPr>
        <w:t>that firms expect their stakeholders to consume</w:t>
      </w:r>
      <w:r w:rsidR="00410CB9">
        <w:rPr>
          <w:rFonts w:ascii="Book Antiqua" w:hAnsi="Book Antiqua"/>
          <w:lang w:val="en-US"/>
        </w:rPr>
        <w:t>”</w:t>
      </w:r>
      <w:r w:rsidR="00270B0E" w:rsidRPr="00410CB9">
        <w:rPr>
          <w:rFonts w:ascii="Book Antiqua" w:hAnsi="Book Antiqua"/>
          <w:lang w:val="en-US"/>
        </w:rPr>
        <w:fldChar w:fldCharType="begin" w:fldLock="1"/>
      </w:r>
      <w:r w:rsidR="00C9686C">
        <w:rPr>
          <w:rFonts w:ascii="Book Antiqua" w:hAnsi="Book Antiqua"/>
          <w:lang w:val="en-US"/>
        </w:rPr>
        <w:instrText>ADDIN CSL_CITATION {"citationItems":[{"id":"ITEM-1","itemData":{"DOI":"10.1177/0007650317703658","ISSN":"15524205","abstract":"© The Author(s) 2017. Sustainability reporting (SR) has become a well-entrenched practice in the mining sector. Failure to adequately live up to societal expectations is now considered a significant threat to the viability of the industry. There is general agreement that broad endorsement of standards for nonfinancial disclosure supports mining companies to improve their image, while conflicts persist. Because sustainability reports “speak” on behalf of sustainably operating organizations and may create socio-political effects, we explore the symbolic nature of SR. We conceive of SR as a performative practice to research how it interferes with the world that it seeks to represent. Our case study research suggests that conformity with global templates is not an end in itself but might create below-compliance effects if a common interest in mining is developed in local arenas that avoids clarification of impacts and maintains ambiguity over responsibility.","author":[{"dropping-particle":"","family":"Böhling","given":"Kathrin","non-dropping-particle":"","parse-names":false,"suffix":""},{"dropping-particle":"","family":"Murguía","given":"Diego I.","non-dropping-particle":"","parse-names":false,"suffix":""},{"dropping-particle":"","family":"Godfrid","given":"Julieta","non-dropping-particle":"","parse-names":false,"suffix":""}],"container-title":"Business and Society","id":"ITEM-1","issue":"1","issued":{"date-parts":[["2019"]]},"page":"191-225","title":"Sustainability Reporting in the Mining Sector: Exploring Its Symbolic Nature","type":"article-journal","volume":"58"},"uris":["http://www.mendeley.com/documents/?uuid=73c64cbf-ed44-4e01-8c3c-9a37a83c481d"]}],"mendeley":{"formattedCitation":"(Böhling, Murguía and Godfrid, 2019)","manualFormatting":"(Böhling, Murguía and Godfrid, 2019; p. 202)","plainTextFormattedCitation":"(Böhling, Murguía and Godfrid, 2019)","previouslyFormattedCitation":"(Böhling, Murguía and Godfrid, 2019)"},"properties":{"noteIndex":0},"schema":"https://github.com/citation-style-language/schema/raw/master/csl-citation.json"}</w:instrText>
      </w:r>
      <w:r w:rsidR="00270B0E" w:rsidRPr="00410CB9">
        <w:rPr>
          <w:rFonts w:ascii="Book Antiqua" w:hAnsi="Book Antiqua"/>
          <w:lang w:val="en-US"/>
        </w:rPr>
        <w:fldChar w:fldCharType="separate"/>
      </w:r>
      <w:r w:rsidR="00270B0E" w:rsidRPr="00410CB9">
        <w:rPr>
          <w:rFonts w:ascii="Book Antiqua" w:hAnsi="Book Antiqua"/>
          <w:noProof/>
          <w:lang w:val="en-US"/>
        </w:rPr>
        <w:t>(Böhling, Murguía and Godfrid, 2019</w:t>
      </w:r>
      <w:r w:rsidR="00410CB9">
        <w:rPr>
          <w:rFonts w:ascii="Book Antiqua" w:hAnsi="Book Antiqua"/>
          <w:noProof/>
          <w:lang w:val="en-US"/>
        </w:rPr>
        <w:t>; p. 202</w:t>
      </w:r>
      <w:r w:rsidR="00270B0E" w:rsidRPr="00410CB9">
        <w:rPr>
          <w:rFonts w:ascii="Book Antiqua" w:hAnsi="Book Antiqua"/>
          <w:noProof/>
          <w:lang w:val="en-US"/>
        </w:rPr>
        <w:t>)</w:t>
      </w:r>
      <w:r w:rsidR="00270B0E" w:rsidRPr="00410CB9">
        <w:rPr>
          <w:rFonts w:ascii="Book Antiqua" w:hAnsi="Book Antiqua"/>
          <w:lang w:val="en-US"/>
        </w:rPr>
        <w:fldChar w:fldCharType="end"/>
      </w:r>
      <w:r w:rsidR="00410CB9">
        <w:rPr>
          <w:rFonts w:ascii="Book Antiqua" w:hAnsi="Book Antiqua"/>
          <w:lang w:val="en-US"/>
        </w:rPr>
        <w:t>.</w:t>
      </w:r>
      <w:r w:rsidR="00C9686C">
        <w:rPr>
          <w:rFonts w:ascii="Book Antiqua" w:hAnsi="Book Antiqua"/>
          <w:lang w:val="en-US"/>
        </w:rPr>
        <w:t xml:space="preserve"> S</w:t>
      </w:r>
      <w:r w:rsidR="00C9686C" w:rsidRPr="00C9686C">
        <w:rPr>
          <w:rFonts w:ascii="Book Antiqua" w:hAnsi="Book Antiqua"/>
          <w:lang w:val="en-US"/>
        </w:rPr>
        <w:t>ustainab</w:t>
      </w:r>
      <w:r w:rsidR="00C9686C">
        <w:rPr>
          <w:rFonts w:ascii="Book Antiqua" w:hAnsi="Book Antiqua"/>
          <w:lang w:val="en-US"/>
        </w:rPr>
        <w:t xml:space="preserve">ility reports can be drawn in a </w:t>
      </w:r>
      <w:r w:rsidR="00C9686C" w:rsidRPr="00C9686C">
        <w:rPr>
          <w:rFonts w:ascii="Book Antiqua" w:hAnsi="Book Antiqua"/>
          <w:lang w:val="en-US"/>
        </w:rPr>
        <w:t xml:space="preserve">positive vein, in pursuit of an impression management </w:t>
      </w:r>
      <w:r w:rsidR="00C9686C">
        <w:rPr>
          <w:rFonts w:ascii="Book Antiqua" w:hAnsi="Book Antiqua"/>
          <w:lang w:val="en-US"/>
        </w:rPr>
        <w:t xml:space="preserve">tactic, which occurs </w:t>
      </w:r>
      <w:r w:rsidR="00C9686C" w:rsidRPr="00C9686C">
        <w:rPr>
          <w:rFonts w:ascii="Book Antiqua" w:hAnsi="Book Antiqua"/>
          <w:lang w:val="en-US"/>
        </w:rPr>
        <w:t>when information is displayed in a way that alters and deceives readers</w:t>
      </w:r>
      <w:r w:rsidR="00C9686C" w:rsidRPr="00C9686C">
        <w:rPr>
          <w:rFonts w:ascii="Book Antiqua" w:hAnsi="Book Antiqua" w:hint="eastAsia"/>
          <w:lang w:val="en-US"/>
        </w:rPr>
        <w:t>’</w:t>
      </w:r>
      <w:r w:rsidR="00C9686C">
        <w:rPr>
          <w:rFonts w:ascii="Book Antiqua" w:hAnsi="Book Antiqua"/>
          <w:lang w:val="en-US"/>
        </w:rPr>
        <w:t xml:space="preserve"> perceptions </w:t>
      </w:r>
      <w:r w:rsidR="00C9686C" w:rsidRPr="00C9686C">
        <w:rPr>
          <w:rFonts w:ascii="Book Antiqua" w:hAnsi="Book Antiqua"/>
          <w:lang w:val="en-US"/>
        </w:rPr>
        <w:t>of companies</w:t>
      </w:r>
      <w:r w:rsidR="00C9686C" w:rsidRPr="00C9686C">
        <w:rPr>
          <w:rFonts w:ascii="Book Antiqua" w:hAnsi="Book Antiqua" w:hint="eastAsia"/>
          <w:lang w:val="en-US"/>
        </w:rPr>
        <w:t>’</w:t>
      </w:r>
      <w:r w:rsidR="00C9686C" w:rsidRPr="00C9686C">
        <w:rPr>
          <w:rFonts w:ascii="Book Antiqua" w:hAnsi="Book Antiqua"/>
          <w:lang w:val="en-US"/>
        </w:rPr>
        <w:t xml:space="preserve"> accomplishments</w:t>
      </w:r>
      <w:r w:rsidR="00C9686C">
        <w:rPr>
          <w:rFonts w:ascii="Book Antiqua" w:hAnsi="Book Antiqua"/>
          <w:lang w:val="en-US"/>
        </w:rPr>
        <w:t xml:space="preserve"> </w:t>
      </w:r>
      <w:r w:rsidR="00C9686C">
        <w:rPr>
          <w:rFonts w:ascii="Book Antiqua" w:hAnsi="Book Antiqua"/>
          <w:lang w:val="en-US"/>
        </w:rPr>
        <w:fldChar w:fldCharType="begin" w:fldLock="1"/>
      </w:r>
      <w:r w:rsidR="00C9686C">
        <w:rPr>
          <w:rFonts w:ascii="Book Antiqua" w:hAnsi="Book Antiqua"/>
          <w:lang w:val="en-US"/>
        </w:rPr>
        <w:instrText>ADDIN CSL_CITATION {"citationItems":[{"id":"ITEM-1","itemData":{"ISSN":"0951-3574","author":[{"dropping-particle":"","family":"Brennan","given":"Niamh M","non-dropping-particle":"","parse-names":false,"suffix":""},{"dropping-particle":"","family":"Guillamon-Saorin","given":"Encarna","non-dropping-particle":"","parse-names":false,"suffix":""},{"dropping-particle":"","family":"Pierce","given":"Aileen","non-dropping-particle":"","parse-names":false,"suffix":""}],"container-title":"Accounting, Auditing &amp; Accountability Journal","id":"ITEM-1","issue":"5","issued":{"date-parts":[["2009"]]},"page":"789-832","publisher":"Emerald Group Publishing Limited","title":"Methodological Insights: Impression management: developing and illustrating a scheme of analysis for narrative disclosures–a methodological note","type":"article-journal","volume":"22"},"uris":["http://www.mendeley.com/documents/?uuid=9ef2b409-e4c8-47e4-99a7-d4604957cdc7"]}],"mendeley":{"formattedCitation":"(Brennan, Guillamon-Saorin and Pierce, 2009)","plainTextFormattedCitation":"(Brennan, Guillamon-Saorin and Pierce, 2009)"},"properties":{"noteIndex":0},"schema":"https://github.com/citation-style-language/schema/raw/master/csl-citation.json"}</w:instrText>
      </w:r>
      <w:r w:rsidR="00C9686C">
        <w:rPr>
          <w:rFonts w:ascii="Book Antiqua" w:hAnsi="Book Antiqua"/>
          <w:lang w:val="en-US"/>
        </w:rPr>
        <w:fldChar w:fldCharType="separate"/>
      </w:r>
      <w:r w:rsidR="00C9686C" w:rsidRPr="00C9686C">
        <w:rPr>
          <w:rFonts w:ascii="Book Antiqua" w:hAnsi="Book Antiqua"/>
          <w:noProof/>
          <w:lang w:val="en-US"/>
        </w:rPr>
        <w:t>(Brennan, Guillamon-Saorin and Pierce, 2009)</w:t>
      </w:r>
      <w:r w:rsidR="00C9686C">
        <w:rPr>
          <w:rFonts w:ascii="Book Antiqua" w:hAnsi="Book Antiqua"/>
          <w:lang w:val="en-US"/>
        </w:rPr>
        <w:fldChar w:fldCharType="end"/>
      </w:r>
      <w:r w:rsidR="00C9686C">
        <w:rPr>
          <w:rFonts w:ascii="Book Antiqua" w:hAnsi="Book Antiqua"/>
          <w:lang w:val="en-US"/>
        </w:rPr>
        <w:t xml:space="preserve">. Eventually, companies may be inclined </w:t>
      </w:r>
      <w:r w:rsidR="00C9686C" w:rsidRPr="00C9686C">
        <w:rPr>
          <w:rFonts w:ascii="Book Antiqua" w:hAnsi="Book Antiqua"/>
          <w:lang w:val="en-US"/>
        </w:rPr>
        <w:t>to refer to it in a symbolic fashion for maint</w:t>
      </w:r>
      <w:r w:rsidR="00C9686C">
        <w:rPr>
          <w:rFonts w:ascii="Book Antiqua" w:hAnsi="Book Antiqua"/>
          <w:lang w:val="en-US"/>
        </w:rPr>
        <w:t xml:space="preserve">aining corporate legitimacy. This is also known as greenwashing behavior, </w:t>
      </w:r>
      <w:r w:rsidR="00C9686C" w:rsidRPr="00C9686C">
        <w:rPr>
          <w:rFonts w:ascii="Book Antiqua" w:hAnsi="Book Antiqua"/>
          <w:lang w:val="en-US"/>
        </w:rPr>
        <w:t>which occur</w:t>
      </w:r>
      <w:r w:rsidR="00C9686C">
        <w:rPr>
          <w:rFonts w:ascii="Book Antiqua" w:hAnsi="Book Antiqua"/>
          <w:lang w:val="en-US"/>
        </w:rPr>
        <w:t xml:space="preserve">s when companies engage </w:t>
      </w:r>
      <w:r w:rsidR="00C9686C" w:rsidRPr="00C9686C">
        <w:rPr>
          <w:rFonts w:ascii="Book Antiqua" w:hAnsi="Book Antiqua"/>
          <w:lang w:val="en-US"/>
        </w:rPr>
        <w:t>with CSR pract</w:t>
      </w:r>
      <w:r w:rsidR="00C9686C">
        <w:rPr>
          <w:rFonts w:ascii="Book Antiqua" w:hAnsi="Book Antiqua"/>
          <w:lang w:val="en-US"/>
        </w:rPr>
        <w:t xml:space="preserve">ices to improve their </w:t>
      </w:r>
      <w:r w:rsidR="00C9686C" w:rsidRPr="005D6720">
        <w:rPr>
          <w:rFonts w:ascii="Book Antiqua" w:hAnsi="Book Antiqua"/>
          <w:lang w:val="en-US"/>
        </w:rPr>
        <w:t xml:space="preserve">corporate image rhetorically and not in practice </w:t>
      </w:r>
      <w:r w:rsidR="00C9686C" w:rsidRPr="005D6720">
        <w:rPr>
          <w:rFonts w:ascii="Book Antiqua" w:hAnsi="Book Antiqua"/>
          <w:lang w:val="en-US"/>
        </w:rPr>
        <w:fldChar w:fldCharType="begin" w:fldLock="1"/>
      </w:r>
      <w:r w:rsidR="00C9686C" w:rsidRPr="005D6720">
        <w:rPr>
          <w:rFonts w:ascii="Book Antiqua" w:hAnsi="Book Antiqua"/>
          <w:lang w:val="en-US"/>
        </w:rPr>
        <w:instrText>ADDIN CSL_CITATION {"citationItems":[{"id":"ITEM-1","itemData":{"DOI":"10.1016/j.cpa.2012.09.008","ISBN":"10452354","ISSN":"10452354","PMID":"88787145","abstract":"Over the past two decades, more and more U.S. firms are voluntarily issuing costly standalone Corporate Social Responsibility (CSR) Reports. Nevertheless, firms' motivations for issuing standalone CSR Reports are not clear. In this paper, we consider two different explanations: signaling and greenwashing. The first explanation, signaling, proposes that firms use standalone CSR Reports as a signal of their superior commitment to CSR, which suggests firms with stronger social and environmental records will be more likely to issue standalone CSR Reports as compared to those without. The second explanation, greenwashing, proposes that firms use standalone CSR Reports to pose as \" good\" corporate citizens even when they do not have stronger social and environmental records. To provide insight into these explanations we compare the CSR performance scores of firms that issue CSR reports to those firms that do not. We control for firm size, leverage, profitability and industry. We find that firms that voluntarily issue standalone CSR Reports generally have higher CSR performance scores, which suggests that firms are using voluntary CSR Reports to publicize stronger social and environmental records to stakeholders. © 2012 Elsevier Ltd.","author":[{"dropping-particle":"","family":"Mahoney, S.","given":"Cois","non-dropping-particle":"","parse-names":false,"suffix":""},{"dropping-particle":"","family":"Thorne","given":"Linda","non-dropping-particle":"","parse-names":false,"suffix":""},{"dropping-particle":"","family":"Cecil","given":"Lianna","non-dropping-particle":"","parse-names":false,"suffix":""},{"dropping-particle":"","family":"LaGore","given":"William","non-dropping-particle":"","parse-names":false,"suffix":""}],"container-title":"Critical Perspectives on Accounting","id":"ITEM-1","issue":"4-5","issued":{"date-parts":[["2013"]]},"page":"350-359","publisher":"Elsevier Ltd","title":"A research note on standalone corporate social responsibility reports: Signaling or greenwashing?","type":"article-journal","volume":"24"},"uris":["http://www.mendeley.com/documents/?uuid=68491f19-b03d-40fd-b183-e87361b360c6"]}],"mendeley":{"formattedCitation":"(Mahoney, S. &lt;i&gt;et al.&lt;/i&gt;, 2013)","plainTextFormattedCitation":"(Mahoney, S. et al., 2013)","previouslyFormattedCitation":"(Mahoney, S. &lt;i&gt;et al.&lt;/i&gt;, 2013)"},"properties":{"noteIndex":0},"schema":"https://github.com/citation-style-language/schema/raw/master/csl-citation.json"}</w:instrText>
      </w:r>
      <w:r w:rsidR="00C9686C" w:rsidRPr="005D6720">
        <w:rPr>
          <w:rFonts w:ascii="Book Antiqua" w:hAnsi="Book Antiqua"/>
          <w:lang w:val="en-US"/>
        </w:rPr>
        <w:fldChar w:fldCharType="separate"/>
      </w:r>
      <w:r w:rsidR="00C9686C" w:rsidRPr="005D6720">
        <w:rPr>
          <w:rFonts w:ascii="Book Antiqua" w:hAnsi="Book Antiqua"/>
          <w:noProof/>
          <w:lang w:val="en-US"/>
        </w:rPr>
        <w:t>(Mahoney, S. et al., 2013)</w:t>
      </w:r>
      <w:r w:rsidR="00C9686C" w:rsidRPr="005D6720">
        <w:rPr>
          <w:rFonts w:ascii="Book Antiqua" w:hAnsi="Book Antiqua"/>
          <w:lang w:val="en-US"/>
        </w:rPr>
        <w:fldChar w:fldCharType="end"/>
      </w:r>
      <w:r w:rsidR="00C9686C" w:rsidRPr="005D6720">
        <w:rPr>
          <w:rFonts w:ascii="Book Antiqua" w:hAnsi="Book Antiqua"/>
          <w:lang w:val="en-US"/>
        </w:rPr>
        <w:t>. In comparable situations, it may become likely that a company will decouple its communication about norm application from its actual implementation practices.</w:t>
      </w:r>
      <w:r w:rsidRPr="005D6720">
        <w:rPr>
          <w:rFonts w:ascii="Book Antiqua" w:hAnsi="Book Antiqua"/>
          <w:lang w:val="en-US"/>
        </w:rPr>
        <w:t xml:space="preserve"> </w:t>
      </w:r>
      <w:r w:rsidR="00410CB9" w:rsidRPr="005D6720">
        <w:rPr>
          <w:rFonts w:ascii="Book Antiqua" w:hAnsi="Book Antiqua"/>
          <w:lang w:val="en-US"/>
        </w:rPr>
        <w:t xml:space="preserve">Quoting </w:t>
      </w:r>
      <w:proofErr w:type="spellStart"/>
      <w:r w:rsidR="00410CB9" w:rsidRPr="005D6720">
        <w:rPr>
          <w:rFonts w:ascii="Book Antiqua" w:hAnsi="Book Antiqua"/>
          <w:lang w:val="en-US"/>
        </w:rPr>
        <w:t>Böhling</w:t>
      </w:r>
      <w:proofErr w:type="spellEnd"/>
      <w:r w:rsidR="00410CB9" w:rsidRPr="005D6720">
        <w:rPr>
          <w:rFonts w:ascii="Book Antiqua" w:hAnsi="Book Antiqua"/>
          <w:lang w:val="en-US"/>
        </w:rPr>
        <w:t xml:space="preserve"> et al. (2019)’s discussion about the social license to operate in extractive industries, it “</w:t>
      </w:r>
      <w:r w:rsidR="00270B0E" w:rsidRPr="005D6720">
        <w:rPr>
          <w:rFonts w:ascii="Book Antiqua" w:hAnsi="Book Antiqua"/>
          <w:lang w:val="en-US"/>
        </w:rPr>
        <w:t xml:space="preserve">should take both beyond- and </w:t>
      </w:r>
      <w:r w:rsidR="00410CB9" w:rsidRPr="005D6720">
        <w:rPr>
          <w:rFonts w:ascii="Book Antiqua" w:hAnsi="Book Antiqua"/>
          <w:lang w:val="en-US"/>
        </w:rPr>
        <w:t xml:space="preserve">below-compliance effects of SR </w:t>
      </w:r>
      <w:r w:rsidR="00270B0E" w:rsidRPr="005D6720">
        <w:rPr>
          <w:rFonts w:ascii="Book Antiqua" w:hAnsi="Book Antiqua"/>
          <w:lang w:val="en-US"/>
        </w:rPr>
        <w:t>into account, and conceive of this practice a</w:t>
      </w:r>
      <w:r w:rsidR="00410CB9" w:rsidRPr="005D6720">
        <w:rPr>
          <w:rFonts w:ascii="Book Antiqua" w:hAnsi="Book Antiqua"/>
          <w:lang w:val="en-US"/>
        </w:rPr>
        <w:t xml:space="preserve">s complementary to other policy </w:t>
      </w:r>
      <w:r w:rsidR="00270B0E" w:rsidRPr="005D6720">
        <w:rPr>
          <w:rFonts w:ascii="Book Antiqua" w:hAnsi="Book Antiqua"/>
          <w:lang w:val="en-US"/>
        </w:rPr>
        <w:t xml:space="preserve">approaches that address environmental </w:t>
      </w:r>
      <w:r w:rsidR="00410CB9" w:rsidRPr="005D6720">
        <w:rPr>
          <w:rFonts w:ascii="Book Antiqua" w:hAnsi="Book Antiqua"/>
          <w:lang w:val="en-US"/>
        </w:rPr>
        <w:t xml:space="preserve">stewardship (Prakash &amp; </w:t>
      </w:r>
      <w:proofErr w:type="spellStart"/>
      <w:r w:rsidR="00410CB9" w:rsidRPr="005D6720">
        <w:rPr>
          <w:rFonts w:ascii="Book Antiqua" w:hAnsi="Book Antiqua"/>
          <w:lang w:val="en-US"/>
        </w:rPr>
        <w:t>Potoski</w:t>
      </w:r>
      <w:proofErr w:type="spellEnd"/>
      <w:r w:rsidR="00410CB9" w:rsidRPr="005D6720">
        <w:rPr>
          <w:rFonts w:ascii="Book Antiqua" w:hAnsi="Book Antiqua"/>
          <w:lang w:val="en-US"/>
        </w:rPr>
        <w:t>, 2006) (p. 219).</w:t>
      </w:r>
      <w:r w:rsidRPr="005D6720">
        <w:rPr>
          <w:rFonts w:ascii="Book Antiqua" w:hAnsi="Book Antiqua"/>
          <w:lang w:val="en-US"/>
        </w:rPr>
        <w:t xml:space="preserve"> </w:t>
      </w:r>
      <w:r w:rsidR="005D6720" w:rsidRPr="005D6720">
        <w:rPr>
          <w:rFonts w:ascii="Book Antiqua" w:hAnsi="Book Antiqua"/>
          <w:lang w:val="en-US"/>
        </w:rPr>
        <w:t xml:space="preserve">Furthermore, with the sustainability reports, companies generally state adherence to appropriate regulations and regulatory standards, thereby justifying a deontological approach </w:t>
      </w:r>
      <w:r w:rsidR="005D6720" w:rsidRPr="005D6720">
        <w:rPr>
          <w:rFonts w:ascii="Book Antiqua" w:hAnsi="Book Antiqua"/>
          <w:lang w:val="en-US"/>
        </w:rPr>
        <w:fldChar w:fldCharType="begin" w:fldLock="1"/>
      </w:r>
      <w:r w:rsidR="005D6720" w:rsidRPr="005D6720">
        <w:rPr>
          <w:rFonts w:ascii="Book Antiqua" w:hAnsi="Book Antiqua"/>
          <w:lang w:val="en-US"/>
        </w:rPr>
        <w:instrText>ADDIN CSL_CITATION {"citationItems":[{"id":"ITEM-1","itemData":{"DOI":"10.1007/s10551-016-3136-4","ISSN":"1573-0697","author":[{"dropping-particle":"","family":"Morrison","given":"Leanne","non-dropping-particle":"","parse-names":false,"suffix":""},{"dropping-particle":"","family":"Wilmshurst","given":"Trevor","non-dropping-particle":"","parse-names":false,"suffix":""},{"dropping-particle":"","family":"Shimeld","given":"Sonia","non-dropping-particle":"","parse-names":false,"suffix":""}],"container-title":"Journal of Business Ethics","id":"ITEM-1","issue":"4","issued":{"date-parts":[["2018"]]},"page":"903-918","publisher":"Springer Netherlands","title":"Environmental Reporting Through an Ethical Looking Glass","type":"article-journal","volume":"150"},"uris":["http://www.mendeley.com/documents/?uuid=df15680f-fc6f-4c75-be14-e3a096e3c534"]}],"mendeley":{"formattedCitation":"(Morrison, Wilmshurst and Shimeld, 2018)","plainTextFormattedCitation":"(Morrison, Wilmshurst and Shimeld, 2018)","previouslyFormattedCitation":"(Morrison, Wilmshurst and Shimeld, 2018)"},"properties":{"noteIndex":0},"schema":"https://github.com/citation-style-language/schema/raw/master/csl-citation.json"}</w:instrText>
      </w:r>
      <w:r w:rsidR="005D6720" w:rsidRPr="005D6720">
        <w:rPr>
          <w:rFonts w:ascii="Book Antiqua" w:hAnsi="Book Antiqua"/>
          <w:lang w:val="en-US"/>
        </w:rPr>
        <w:fldChar w:fldCharType="separate"/>
      </w:r>
      <w:r w:rsidR="005D6720" w:rsidRPr="005D6720">
        <w:rPr>
          <w:rFonts w:ascii="Book Antiqua" w:hAnsi="Book Antiqua"/>
          <w:noProof/>
          <w:lang w:val="en-US"/>
        </w:rPr>
        <w:t>(Morrison, Wilmshurst and Shimeld, 2018)</w:t>
      </w:r>
      <w:r w:rsidR="005D6720" w:rsidRPr="005D6720">
        <w:rPr>
          <w:rFonts w:ascii="Book Antiqua" w:hAnsi="Book Antiqua"/>
          <w:lang w:val="en-US"/>
        </w:rPr>
        <w:fldChar w:fldCharType="end"/>
      </w:r>
      <w:r w:rsidR="005D6720" w:rsidRPr="005D6720">
        <w:rPr>
          <w:rFonts w:ascii="Book Antiqua" w:hAnsi="Book Antiqua"/>
          <w:lang w:val="en-US"/>
        </w:rPr>
        <w:t xml:space="preserve">. </w:t>
      </w:r>
      <w:r w:rsidRPr="005D6720">
        <w:rPr>
          <w:rFonts w:ascii="Book Antiqua" w:hAnsi="Book Antiqua"/>
          <w:lang w:val="en-US"/>
        </w:rPr>
        <w:t>To overcome the limitations related the analysis over secondary sources</w:t>
      </w:r>
      <w:r>
        <w:rPr>
          <w:rFonts w:ascii="Book Antiqua" w:hAnsi="Book Antiqua"/>
          <w:lang w:val="en-US"/>
        </w:rPr>
        <w:t xml:space="preserve"> of information, </w:t>
      </w:r>
      <w:r w:rsidR="005D6720">
        <w:rPr>
          <w:rFonts w:ascii="Book Antiqua" w:hAnsi="Book Antiqua"/>
          <w:lang w:val="en-US"/>
        </w:rPr>
        <w:t>the study can be enriched</w:t>
      </w:r>
      <w:r>
        <w:rPr>
          <w:rFonts w:ascii="Book Antiqua" w:hAnsi="Book Antiqua"/>
          <w:lang w:val="en-US"/>
        </w:rPr>
        <w:t xml:space="preserve"> through interviews which can therefore allow the researchers to deepen the analysis over the cultural differences. </w:t>
      </w:r>
    </w:p>
    <w:p w14:paraId="320FAD75" w14:textId="11DF8097" w:rsidR="00EA68E1" w:rsidRPr="003971F1" w:rsidRDefault="00F46E55" w:rsidP="001D6D53">
      <w:pPr>
        <w:autoSpaceDE w:val="0"/>
        <w:autoSpaceDN w:val="0"/>
        <w:adjustRightInd w:val="0"/>
        <w:spacing w:after="120"/>
        <w:jc w:val="both"/>
        <w:rPr>
          <w:rFonts w:ascii="Book Antiqua" w:hAnsi="Book Antiqua"/>
          <w:lang w:val="en-US"/>
        </w:rPr>
      </w:pPr>
      <w:r>
        <w:rPr>
          <w:rFonts w:ascii="Book Antiqua" w:hAnsi="Book Antiqua"/>
          <w:lang w:val="en-US"/>
        </w:rPr>
        <w:t>Drawing final remarks,</w:t>
      </w:r>
      <w:r w:rsidR="00D6451D" w:rsidRPr="003971F1">
        <w:rPr>
          <w:rFonts w:ascii="Book Antiqua" w:hAnsi="Book Antiqua"/>
          <w:lang w:val="en-US"/>
        </w:rPr>
        <w:t xml:space="preserve"> a responsible </w:t>
      </w:r>
      <w:r w:rsidR="00B347C8" w:rsidRPr="003971F1">
        <w:rPr>
          <w:rFonts w:ascii="Book Antiqua" w:hAnsi="Book Antiqua"/>
          <w:lang w:val="en-US"/>
        </w:rPr>
        <w:t xml:space="preserve">commitment </w:t>
      </w:r>
      <w:r w:rsidR="00D6451D" w:rsidRPr="003971F1">
        <w:rPr>
          <w:rFonts w:ascii="Book Antiqua" w:hAnsi="Book Antiqua"/>
          <w:lang w:val="en-US"/>
        </w:rPr>
        <w:t>in order to protect, restore, and enhance the natural environment</w:t>
      </w:r>
      <w:r>
        <w:rPr>
          <w:rFonts w:ascii="Book Antiqua" w:hAnsi="Book Antiqua"/>
          <w:lang w:val="en-US"/>
        </w:rPr>
        <w:t xml:space="preserve"> is vital</w:t>
      </w:r>
      <w:r w:rsidR="00B347C8" w:rsidRPr="003971F1">
        <w:rPr>
          <w:rFonts w:ascii="Book Antiqua" w:hAnsi="Book Antiqua"/>
          <w:lang w:val="en-US"/>
        </w:rPr>
        <w:t>.</w:t>
      </w:r>
      <w:r w:rsidR="00D6451D" w:rsidRPr="003971F1">
        <w:rPr>
          <w:rFonts w:ascii="Book Antiqua" w:hAnsi="Book Antiqua"/>
          <w:lang w:val="en-US"/>
        </w:rPr>
        <w:t xml:space="preserve"> Thus, concrete application</w:t>
      </w:r>
      <w:r>
        <w:rPr>
          <w:rFonts w:ascii="Book Antiqua" w:hAnsi="Book Antiqua"/>
          <w:lang w:val="en-US"/>
        </w:rPr>
        <w:t>s of responsible actions are fundamental</w:t>
      </w:r>
      <w:r w:rsidR="00D6451D" w:rsidRPr="003971F1">
        <w:rPr>
          <w:rFonts w:ascii="Book Antiqua" w:hAnsi="Book Antiqua"/>
          <w:lang w:val="en-US"/>
        </w:rPr>
        <w:t xml:space="preserve"> to progress beyond</w:t>
      </w:r>
      <w:r>
        <w:rPr>
          <w:rFonts w:ascii="Book Antiqua" w:hAnsi="Book Antiqua"/>
          <w:lang w:val="en-US"/>
        </w:rPr>
        <w:t xml:space="preserve"> </w:t>
      </w:r>
      <w:r w:rsidR="00D6451D" w:rsidRPr="003971F1">
        <w:rPr>
          <w:rFonts w:ascii="Book Antiqua" w:hAnsi="Book Antiqua"/>
          <w:lang w:val="en-US"/>
        </w:rPr>
        <w:t>conservation</w:t>
      </w:r>
      <w:r>
        <w:rPr>
          <w:rFonts w:ascii="Book Antiqua" w:hAnsi="Book Antiqua"/>
          <w:lang w:val="en-US"/>
        </w:rPr>
        <w:t>-only</w:t>
      </w:r>
      <w:r w:rsidR="00D6451D" w:rsidRPr="003971F1">
        <w:rPr>
          <w:rFonts w:ascii="Book Antiqua" w:hAnsi="Book Antiqua"/>
          <w:lang w:val="en-US"/>
        </w:rPr>
        <w:t xml:space="preserve"> in favor of an interactive approach </w:t>
      </w:r>
      <w:r w:rsidR="00C9686C">
        <w:rPr>
          <w:rFonts w:ascii="Book Antiqua" w:hAnsi="Book Antiqua"/>
          <w:lang w:val="en-US"/>
        </w:rPr>
        <w:t>w</w:t>
      </w:r>
      <w:r>
        <w:rPr>
          <w:rFonts w:ascii="Book Antiqua" w:hAnsi="Book Antiqua"/>
          <w:lang w:val="en-US"/>
        </w:rPr>
        <w:t>ith and among stakeholders</w:t>
      </w:r>
      <w:r w:rsidR="00C9686C">
        <w:rPr>
          <w:rFonts w:ascii="Book Antiqua" w:hAnsi="Book Antiqua"/>
          <w:lang w:val="en-US"/>
        </w:rPr>
        <w:t xml:space="preserve">. </w:t>
      </w:r>
      <w:r>
        <w:rPr>
          <w:rFonts w:ascii="Book Antiqua" w:hAnsi="Book Antiqua"/>
          <w:lang w:val="en-US"/>
        </w:rPr>
        <w:t xml:space="preserve">Businesses are called to cooperate with each other with a common value: a commitment to chance for protecting </w:t>
      </w:r>
      <w:r w:rsidR="00D6451D" w:rsidRPr="003971F1">
        <w:rPr>
          <w:rFonts w:ascii="Book Antiqua" w:hAnsi="Book Antiqua"/>
          <w:lang w:val="en-US"/>
        </w:rPr>
        <w:t xml:space="preserve">the natural ecosystem. </w:t>
      </w:r>
    </w:p>
    <w:p w14:paraId="6AA09D2F" w14:textId="77777777" w:rsidR="00EA68E1" w:rsidRPr="003971F1" w:rsidRDefault="00EA68E1" w:rsidP="00D143BB">
      <w:pPr>
        <w:spacing w:after="240" w:line="276" w:lineRule="auto"/>
        <w:jc w:val="both"/>
        <w:rPr>
          <w:rFonts w:ascii="Book Antiqua" w:hAnsi="Book Antiqua"/>
          <w:lang w:val="en-US"/>
        </w:rPr>
      </w:pPr>
    </w:p>
    <w:p w14:paraId="5BE3DD34" w14:textId="5B8DD880" w:rsidR="00183B3B" w:rsidRPr="003971F1" w:rsidRDefault="00183B3B" w:rsidP="006E21A6">
      <w:pPr>
        <w:pStyle w:val="Titolo2"/>
      </w:pPr>
      <w:r w:rsidRPr="005D6720">
        <w:t>References</w:t>
      </w:r>
    </w:p>
    <w:p w14:paraId="0D0CF238" w14:textId="1E4544B7" w:rsidR="00C9686C" w:rsidRPr="00846BF6" w:rsidRDefault="00CD7A79" w:rsidP="00641978">
      <w:pPr>
        <w:widowControl w:val="0"/>
        <w:autoSpaceDE w:val="0"/>
        <w:autoSpaceDN w:val="0"/>
        <w:adjustRightInd w:val="0"/>
        <w:spacing w:after="120"/>
        <w:ind w:left="284" w:hanging="284"/>
        <w:rPr>
          <w:rFonts w:ascii="Book Antiqua" w:hAnsi="Book Antiqua"/>
          <w:noProof/>
          <w:lang w:val="en-GB"/>
        </w:rPr>
      </w:pPr>
      <w:r w:rsidRPr="003971F1">
        <w:rPr>
          <w:rFonts w:ascii="Book Antiqua" w:hAnsi="Book Antiqua"/>
          <w:lang w:val="en-US"/>
        </w:rPr>
        <w:fldChar w:fldCharType="begin" w:fldLock="1"/>
      </w:r>
      <w:r w:rsidRPr="003971F1">
        <w:rPr>
          <w:rFonts w:ascii="Book Antiqua" w:hAnsi="Book Antiqua"/>
          <w:lang w:val="en-US"/>
        </w:rPr>
        <w:instrText xml:space="preserve">ADDIN Mendeley Bibliography CSL_BIBLIOGRAPHY </w:instrText>
      </w:r>
      <w:r w:rsidRPr="003971F1">
        <w:rPr>
          <w:rFonts w:ascii="Book Antiqua" w:hAnsi="Book Antiqua"/>
          <w:lang w:val="en-US"/>
        </w:rPr>
        <w:fldChar w:fldCharType="separate"/>
      </w:r>
      <w:r w:rsidR="00C9686C" w:rsidRPr="00846BF6">
        <w:rPr>
          <w:rFonts w:ascii="Book Antiqua" w:hAnsi="Book Antiqua"/>
          <w:noProof/>
          <w:lang w:val="en-GB"/>
        </w:rPr>
        <w:t xml:space="preserve">Ackoff, R. L. (1974) ‘Redesigning the future’, </w:t>
      </w:r>
      <w:r w:rsidR="00C9686C" w:rsidRPr="00846BF6">
        <w:rPr>
          <w:rFonts w:ascii="Book Antiqua" w:hAnsi="Book Antiqua"/>
          <w:i/>
          <w:iCs/>
          <w:noProof/>
          <w:lang w:val="en-GB"/>
        </w:rPr>
        <w:t>New York</w:t>
      </w:r>
      <w:r w:rsidR="00C9686C" w:rsidRPr="00846BF6">
        <w:rPr>
          <w:rFonts w:ascii="Book Antiqua" w:hAnsi="Book Antiqua"/>
          <w:noProof/>
          <w:lang w:val="en-GB"/>
        </w:rPr>
        <w:t>, 29.</w:t>
      </w:r>
    </w:p>
    <w:p w14:paraId="44B4FBC0"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Austin, J. E. and Seitanidi, M. M. (2012) ‘Collaborative Value Creation: A Review of Partnering Between Nonprofits and Businesses: Part I. Value Creation Spectrum and Collaboration Stages’, </w:t>
      </w:r>
      <w:r w:rsidRPr="00846BF6">
        <w:rPr>
          <w:rFonts w:ascii="Book Antiqua" w:hAnsi="Book Antiqua"/>
          <w:i/>
          <w:iCs/>
          <w:noProof/>
          <w:lang w:val="en-GB"/>
        </w:rPr>
        <w:t>Nonprofit and Voluntary Sector Quarterly</w:t>
      </w:r>
      <w:r w:rsidRPr="00846BF6">
        <w:rPr>
          <w:rFonts w:ascii="Book Antiqua" w:hAnsi="Book Antiqua"/>
          <w:noProof/>
          <w:lang w:val="en-GB"/>
        </w:rPr>
        <w:t>, 41(5), pp. 726–758. doi: 10.1177/0899764012450777.</w:t>
      </w:r>
    </w:p>
    <w:p w14:paraId="6E2AD16F"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lastRenderedPageBreak/>
        <w:t xml:space="preserve">Böhling, K., Murguía, D. I. and Godfrid, J. (2019) ‘Sustainability Reporting in the Mining Sector: Exploring Its Symbolic Nature’, </w:t>
      </w:r>
      <w:r w:rsidRPr="00846BF6">
        <w:rPr>
          <w:rFonts w:ascii="Book Antiqua" w:hAnsi="Book Antiqua"/>
          <w:i/>
          <w:iCs/>
          <w:noProof/>
          <w:lang w:val="en-GB"/>
        </w:rPr>
        <w:t>Business and Society</w:t>
      </w:r>
      <w:r w:rsidRPr="00846BF6">
        <w:rPr>
          <w:rFonts w:ascii="Book Antiqua" w:hAnsi="Book Antiqua"/>
          <w:noProof/>
          <w:lang w:val="en-GB"/>
        </w:rPr>
        <w:t>, 58(1), pp. 191–225. doi: 10.1177/0007650317703658.</w:t>
      </w:r>
    </w:p>
    <w:p w14:paraId="7BB1839C"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Boiral, O. and Heras-Saizarbitoria, I. (2017) ‘Managing Biodiversity Through Stakeholder Involvement : Why , Who , and for What Initiatives ?’, </w:t>
      </w:r>
      <w:r w:rsidRPr="00846BF6">
        <w:rPr>
          <w:rFonts w:ascii="Book Antiqua" w:hAnsi="Book Antiqua"/>
          <w:i/>
          <w:iCs/>
          <w:noProof/>
          <w:lang w:val="en-GB"/>
        </w:rPr>
        <w:t>Journal of Business Ethics</w:t>
      </w:r>
      <w:r w:rsidRPr="00846BF6">
        <w:rPr>
          <w:rFonts w:ascii="Book Antiqua" w:hAnsi="Book Antiqua"/>
          <w:noProof/>
          <w:lang w:val="en-GB"/>
        </w:rPr>
        <w:t>, pp. 403–421. doi: 10.1007/s10551-015-2668-3.</w:t>
      </w:r>
    </w:p>
    <w:p w14:paraId="6412F447"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Brennan, N. M., Guillamon-Saorin, E. and Pierce, A. (2009) ‘Methodological Insights: Impression management: developing and illustrating a scheme of analysis for narrative disclosures–a methodological note’, </w:t>
      </w:r>
      <w:r w:rsidRPr="00846BF6">
        <w:rPr>
          <w:rFonts w:ascii="Book Antiqua" w:hAnsi="Book Antiqua"/>
          <w:i/>
          <w:iCs/>
          <w:noProof/>
          <w:lang w:val="en-GB"/>
        </w:rPr>
        <w:t>Accounting, Auditing &amp; Accountability Journal</w:t>
      </w:r>
      <w:r w:rsidRPr="00846BF6">
        <w:rPr>
          <w:rFonts w:ascii="Book Antiqua" w:hAnsi="Book Antiqua"/>
          <w:noProof/>
          <w:lang w:val="en-GB"/>
        </w:rPr>
        <w:t>. Emerald Group Publishing Limited, 22(5), pp. 789–832.</w:t>
      </w:r>
    </w:p>
    <w:p w14:paraId="68E1A3E3" w14:textId="646C92FC" w:rsidR="001C2082" w:rsidRDefault="00C9686C" w:rsidP="001C2082">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Collins, E., Kearins, K. and Roper, J. (2005) ‘The Risks in Relying on Stakeholder Engagement for the Achievement of Sustainability’, </w:t>
      </w:r>
      <w:r w:rsidRPr="00846BF6">
        <w:rPr>
          <w:rFonts w:ascii="Book Antiqua" w:hAnsi="Book Antiqua"/>
          <w:i/>
          <w:iCs/>
          <w:noProof/>
          <w:lang w:val="en-GB"/>
        </w:rPr>
        <w:t>Electronic Journal of Organisation Theory</w:t>
      </w:r>
      <w:r w:rsidRPr="00846BF6">
        <w:rPr>
          <w:rFonts w:ascii="Book Antiqua" w:hAnsi="Book Antiqua"/>
          <w:noProof/>
          <w:lang w:val="en-GB"/>
        </w:rPr>
        <w:t>, 9(1), pp. 81–101.</w:t>
      </w:r>
    </w:p>
    <w:p w14:paraId="14979775" w14:textId="052E94DB" w:rsidR="001C2082" w:rsidRDefault="00DB1A0A" w:rsidP="001C2082">
      <w:pPr>
        <w:widowControl w:val="0"/>
        <w:autoSpaceDE w:val="0"/>
        <w:autoSpaceDN w:val="0"/>
        <w:adjustRightInd w:val="0"/>
        <w:spacing w:after="120"/>
        <w:ind w:left="284" w:hanging="284"/>
        <w:rPr>
          <w:rFonts w:ascii="Book Antiqua" w:hAnsi="Book Antiqua"/>
          <w:noProof/>
          <w:lang w:val="en-GB"/>
        </w:rPr>
      </w:pPr>
      <w:hyperlink r:id="rId8" w:tooltip="Prodromos Chatzoglou" w:history="1">
        <w:r w:rsidR="001C2082" w:rsidRPr="001C2082">
          <w:rPr>
            <w:rStyle w:val="Collegamentoipertestuale"/>
            <w:rFonts w:cs="Arial"/>
            <w:noProof/>
            <w:shd w:val="clear" w:color="auto" w:fill="FFFFFF"/>
            <w:lang w:val="en-GB"/>
          </w:rPr>
          <w:t>Chatzoglou, P.</w:t>
        </w:r>
      </w:hyperlink>
      <w:r w:rsidR="001C2082" w:rsidRPr="001C2082">
        <w:rPr>
          <w:rStyle w:val="Collegamentoipertestuale"/>
          <w:noProof/>
          <w:lang w:val="en-GB"/>
        </w:rPr>
        <w:t>, </w:t>
      </w:r>
      <w:hyperlink r:id="rId9" w:tooltip="Dimitrios Chatzoudes" w:history="1">
        <w:r w:rsidR="001C2082" w:rsidRPr="001C2082">
          <w:rPr>
            <w:rFonts w:ascii="Book Antiqua" w:hAnsi="Book Antiqua"/>
            <w:noProof/>
            <w:lang w:val="en-GB"/>
          </w:rPr>
          <w:t>Chatzoudes, D.</w:t>
        </w:r>
      </w:hyperlink>
      <w:r w:rsidR="001C2082" w:rsidRPr="001C2082">
        <w:rPr>
          <w:rFonts w:ascii="Book Antiqua" w:hAnsi="Book Antiqua"/>
          <w:noProof/>
          <w:lang w:val="en-GB"/>
        </w:rPr>
        <w:t>, </w:t>
      </w:r>
      <w:hyperlink r:id="rId10" w:tooltip="Vasiliki Amarantou" w:history="1">
        <w:r w:rsidR="001C2082" w:rsidRPr="001C2082">
          <w:rPr>
            <w:rFonts w:ascii="Book Antiqua" w:hAnsi="Book Antiqua"/>
            <w:noProof/>
            <w:lang w:val="en-GB"/>
          </w:rPr>
          <w:t>Amarantou, V.</w:t>
        </w:r>
      </w:hyperlink>
      <w:r w:rsidR="001C2082" w:rsidRPr="001C2082">
        <w:rPr>
          <w:rFonts w:ascii="Book Antiqua" w:hAnsi="Book Antiqua"/>
          <w:noProof/>
          <w:lang w:val="en-GB"/>
        </w:rPr>
        <w:t> and </w:t>
      </w:r>
      <w:hyperlink r:id="rId11" w:tooltip="Vassilios Aggelidis" w:history="1">
        <w:r w:rsidR="001C2082" w:rsidRPr="001C2082">
          <w:rPr>
            <w:rFonts w:ascii="Book Antiqua" w:hAnsi="Book Antiqua"/>
            <w:noProof/>
            <w:lang w:val="en-GB"/>
          </w:rPr>
          <w:t>Aggelidis, V.</w:t>
        </w:r>
      </w:hyperlink>
      <w:r w:rsidR="001C2082" w:rsidRPr="001C2082">
        <w:rPr>
          <w:rFonts w:ascii="Book Antiqua" w:hAnsi="Book Antiqua"/>
          <w:noProof/>
          <w:lang w:val="en-GB"/>
        </w:rPr>
        <w:t> (2017), "Examining the antecedents and the effects of CSR implementation: an explanatory study", </w:t>
      </w:r>
      <w:hyperlink r:id="rId12" w:history="1">
        <w:r w:rsidR="001C2082" w:rsidRPr="001C2082">
          <w:rPr>
            <w:rFonts w:ascii="Book Antiqua" w:hAnsi="Book Antiqua"/>
            <w:noProof/>
            <w:lang w:val="en-GB"/>
          </w:rPr>
          <w:t>EuroMed Journal of Business</w:t>
        </w:r>
      </w:hyperlink>
      <w:r w:rsidR="001C2082" w:rsidRPr="001C2082">
        <w:rPr>
          <w:rFonts w:ascii="Book Antiqua" w:hAnsi="Book Antiqua"/>
          <w:noProof/>
          <w:lang w:val="en-GB"/>
        </w:rPr>
        <w:t>, Vol. 12 No. 2, pp. 189-206. </w:t>
      </w:r>
      <w:hyperlink r:id="rId13" w:tooltip="DOI: https://doi.org/10.1108/EMJB-12-2016-0035" w:history="1">
        <w:r w:rsidR="001C2082" w:rsidRPr="001C2082">
          <w:rPr>
            <w:rFonts w:ascii="Book Antiqua" w:hAnsi="Book Antiqua"/>
            <w:noProof/>
            <w:lang w:val="en-GB"/>
          </w:rPr>
          <w:t>https://doi.org/10.1108/EMJB-12-2016-0035</w:t>
        </w:r>
      </w:hyperlink>
    </w:p>
    <w:p w14:paraId="14BCBDA9" w14:textId="77777777" w:rsidR="001C2082" w:rsidRPr="00846BF6" w:rsidRDefault="001C2082" w:rsidP="00846BF6">
      <w:pPr>
        <w:widowControl w:val="0"/>
        <w:autoSpaceDE w:val="0"/>
        <w:autoSpaceDN w:val="0"/>
        <w:adjustRightInd w:val="0"/>
        <w:spacing w:after="120"/>
        <w:rPr>
          <w:rFonts w:ascii="Book Antiqua" w:hAnsi="Book Antiqua"/>
          <w:noProof/>
          <w:lang w:val="en-GB"/>
        </w:rPr>
      </w:pPr>
    </w:p>
    <w:p w14:paraId="0CA890DF"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Creswell, J. W. (2008) ‘Research design: Qualitative, quantitative, and mixed methods approach.[Electronic version]’.</w:t>
      </w:r>
    </w:p>
    <w:p w14:paraId="39CA7322"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Dawkins, C. E. (2014) ‘The Principle of Good Faith: Toward Substantive Stakeholder Engagement’, </w:t>
      </w:r>
      <w:r w:rsidRPr="00846BF6">
        <w:rPr>
          <w:rFonts w:ascii="Book Antiqua" w:hAnsi="Book Antiqua"/>
          <w:i/>
          <w:iCs/>
          <w:noProof/>
          <w:lang w:val="en-GB"/>
        </w:rPr>
        <w:t>Journal of Business Ethics</w:t>
      </w:r>
      <w:r w:rsidRPr="00846BF6">
        <w:rPr>
          <w:rFonts w:ascii="Book Antiqua" w:hAnsi="Book Antiqua"/>
          <w:noProof/>
          <w:lang w:val="en-GB"/>
        </w:rPr>
        <w:t>. Springer, 121(2), pp. 283–295. Available at: http://www.jstor.org/stable/42921381.</w:t>
      </w:r>
    </w:p>
    <w:p w14:paraId="26AFBB11"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Eisenhardt, K. M. and Graebner, M. E. (2007) ‘Theory Building From Cases: Opportunities And Challenges’, </w:t>
      </w:r>
      <w:r w:rsidRPr="00846BF6">
        <w:rPr>
          <w:rFonts w:ascii="Book Antiqua" w:hAnsi="Book Antiqua"/>
          <w:i/>
          <w:iCs/>
          <w:noProof/>
          <w:lang w:val="en-GB"/>
        </w:rPr>
        <w:t>Academy of Management Journal</w:t>
      </w:r>
      <w:r w:rsidRPr="00846BF6">
        <w:rPr>
          <w:rFonts w:ascii="Book Antiqua" w:hAnsi="Book Antiqua"/>
          <w:noProof/>
          <w:lang w:val="en-GB"/>
        </w:rPr>
        <w:t>. Academy of Management, 50(1), pp. 25–32. doi: 10.5465/amj.2007.24160888.</w:t>
      </w:r>
    </w:p>
    <w:p w14:paraId="3EA83B3D"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Fasan, M. and Mio, C. (2017) ‘Fostering Stakeholder Engagement: The Role of Materiality Disclosure in Integrated Reporting’, </w:t>
      </w:r>
      <w:r w:rsidRPr="00846BF6">
        <w:rPr>
          <w:rFonts w:ascii="Book Antiqua" w:hAnsi="Book Antiqua"/>
          <w:i/>
          <w:iCs/>
          <w:noProof/>
          <w:lang w:val="en-GB"/>
        </w:rPr>
        <w:t>Business Strategy and the Environment</w:t>
      </w:r>
      <w:r w:rsidRPr="00846BF6">
        <w:rPr>
          <w:rFonts w:ascii="Book Antiqua" w:hAnsi="Book Antiqua"/>
          <w:noProof/>
          <w:lang w:val="en-GB"/>
        </w:rPr>
        <w:t>, 26(3), pp. 288–305. doi: 10.1002/bse.1917.</w:t>
      </w:r>
    </w:p>
    <w:p w14:paraId="56F5789D" w14:textId="6C3CDC80"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Freeman, R. E. (1984) </w:t>
      </w:r>
      <w:r w:rsidRPr="00846BF6">
        <w:rPr>
          <w:rFonts w:ascii="Book Antiqua" w:hAnsi="Book Antiqua"/>
          <w:i/>
          <w:iCs/>
          <w:noProof/>
          <w:lang w:val="en-GB"/>
        </w:rPr>
        <w:t>Strategic management: A stakeholder approach</w:t>
      </w:r>
      <w:r w:rsidRPr="00846BF6">
        <w:rPr>
          <w:rFonts w:ascii="Book Antiqua" w:hAnsi="Book Antiqua"/>
          <w:noProof/>
          <w:lang w:val="en-GB"/>
        </w:rPr>
        <w:t xml:space="preserve">, </w:t>
      </w:r>
      <w:r w:rsidRPr="00846BF6">
        <w:rPr>
          <w:rFonts w:ascii="Book Antiqua" w:hAnsi="Book Antiqua"/>
          <w:i/>
          <w:iCs/>
          <w:noProof/>
          <w:lang w:val="en-GB"/>
        </w:rPr>
        <w:t>Pitman Series in Business and Public Policy</w:t>
      </w:r>
      <w:r w:rsidRPr="00846BF6">
        <w:rPr>
          <w:rFonts w:ascii="Book Antiqua" w:hAnsi="Book Antiqua"/>
          <w:noProof/>
          <w:lang w:val="en-GB"/>
        </w:rPr>
        <w:t>. Pitma</w:t>
      </w:r>
      <w:r w:rsidR="00B229D4" w:rsidRPr="00846BF6">
        <w:rPr>
          <w:rFonts w:ascii="Book Antiqua" w:hAnsi="Book Antiqua"/>
          <w:noProof/>
          <w:lang w:val="en-GB"/>
        </w:rPr>
        <w:t>n Publishing Inc.</w:t>
      </w:r>
    </w:p>
    <w:p w14:paraId="2220F6A1"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Freeman, R. E. </w:t>
      </w:r>
      <w:r w:rsidRPr="00846BF6">
        <w:rPr>
          <w:rFonts w:ascii="Book Antiqua" w:hAnsi="Book Antiqua"/>
          <w:i/>
          <w:iCs/>
          <w:noProof/>
          <w:lang w:val="en-GB"/>
        </w:rPr>
        <w:t>et al.</w:t>
      </w:r>
      <w:r w:rsidRPr="00846BF6">
        <w:rPr>
          <w:rFonts w:ascii="Book Antiqua" w:hAnsi="Book Antiqua"/>
          <w:noProof/>
          <w:lang w:val="en-GB"/>
        </w:rPr>
        <w:t xml:space="preserve"> (2010) </w:t>
      </w:r>
      <w:r w:rsidRPr="00846BF6">
        <w:rPr>
          <w:rFonts w:ascii="Book Antiqua" w:hAnsi="Book Antiqua"/>
          <w:i/>
          <w:iCs/>
          <w:noProof/>
          <w:lang w:val="en-GB"/>
        </w:rPr>
        <w:t>Stakeholder Theory: The State Of The Art</w:t>
      </w:r>
      <w:r w:rsidRPr="00846BF6">
        <w:rPr>
          <w:rFonts w:ascii="Book Antiqua" w:hAnsi="Book Antiqua"/>
          <w:noProof/>
          <w:lang w:val="en-GB"/>
        </w:rPr>
        <w:t xml:space="preserve">, </w:t>
      </w:r>
      <w:r w:rsidRPr="00846BF6">
        <w:rPr>
          <w:rFonts w:ascii="Book Antiqua" w:hAnsi="Book Antiqua"/>
          <w:i/>
          <w:iCs/>
          <w:noProof/>
          <w:lang w:val="en-GB"/>
        </w:rPr>
        <w:t>Cambridge University Press</w:t>
      </w:r>
      <w:r w:rsidRPr="00846BF6">
        <w:rPr>
          <w:rFonts w:ascii="Book Antiqua" w:hAnsi="Book Antiqua"/>
          <w:noProof/>
          <w:lang w:val="en-GB"/>
        </w:rPr>
        <w:t>.</w:t>
      </w:r>
    </w:p>
    <w:p w14:paraId="65A23EED"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Greenwood, M. (2007) ‘Stakeholder Engagement : Beyond the Myth of Corporate Responsibility’, </w:t>
      </w:r>
      <w:r w:rsidRPr="00846BF6">
        <w:rPr>
          <w:rFonts w:ascii="Book Antiqua" w:hAnsi="Book Antiqua"/>
          <w:i/>
          <w:iCs/>
          <w:noProof/>
          <w:lang w:val="en-GB"/>
        </w:rPr>
        <w:t>Journal of Business Ethics</w:t>
      </w:r>
      <w:r w:rsidRPr="00846BF6">
        <w:rPr>
          <w:rFonts w:ascii="Book Antiqua" w:hAnsi="Book Antiqua"/>
          <w:noProof/>
          <w:lang w:val="en-GB"/>
        </w:rPr>
        <w:t>, 74, pp. 315–327. doi: 10.1007/s10551-007-9509-y.</w:t>
      </w:r>
    </w:p>
    <w:p w14:paraId="1C54EC08"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Greenwood, M. and van Buren, H. J. (2010) ‘Trust and stakeholder theory: Trustworthiness in the organisation-stakeholder relationship’, </w:t>
      </w:r>
      <w:r w:rsidRPr="00846BF6">
        <w:rPr>
          <w:rFonts w:ascii="Book Antiqua" w:hAnsi="Book Antiqua"/>
          <w:i/>
          <w:iCs/>
          <w:noProof/>
          <w:lang w:val="en-GB"/>
        </w:rPr>
        <w:t>Journal of Business Ethics</w:t>
      </w:r>
      <w:r w:rsidRPr="00846BF6">
        <w:rPr>
          <w:rFonts w:ascii="Book Antiqua" w:hAnsi="Book Antiqua"/>
          <w:noProof/>
          <w:lang w:val="en-GB"/>
        </w:rPr>
        <w:t>, 95(3), pp. 425–438. doi: 10.1007/s10551-010-0414-4.</w:t>
      </w:r>
    </w:p>
    <w:p w14:paraId="00EFB1E5" w14:textId="19D8BA7F"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Harrison, J. S. and Wicks, A. C. (2013) ‘Stakeholder Theory, Value, and Firm Performance’, </w:t>
      </w:r>
      <w:r w:rsidRPr="00846BF6">
        <w:rPr>
          <w:rFonts w:ascii="Book Antiqua" w:hAnsi="Book Antiqua"/>
          <w:i/>
          <w:iCs/>
          <w:noProof/>
          <w:lang w:val="en-GB"/>
        </w:rPr>
        <w:t>Business Ethics Quarterly</w:t>
      </w:r>
      <w:r w:rsidRPr="00846BF6">
        <w:rPr>
          <w:rFonts w:ascii="Book Antiqua" w:hAnsi="Book Antiqua"/>
          <w:noProof/>
          <w:lang w:val="en-GB"/>
        </w:rPr>
        <w:t xml:space="preserve">. 2015/01/23. Cambridge University Press, </w:t>
      </w:r>
      <w:r w:rsidRPr="00846BF6">
        <w:rPr>
          <w:rFonts w:ascii="Book Antiqua" w:hAnsi="Book Antiqua"/>
          <w:noProof/>
          <w:lang w:val="en-GB"/>
        </w:rPr>
        <w:lastRenderedPageBreak/>
        <w:t>23(1), pp. 97–124. doi: DOI: 10.5840/beq20132314.</w:t>
      </w:r>
    </w:p>
    <w:p w14:paraId="3F7F2671" w14:textId="77777777" w:rsidR="00B229D4" w:rsidRPr="003971F1" w:rsidRDefault="00B229D4" w:rsidP="00B229D4">
      <w:pPr>
        <w:snapToGrid w:val="0"/>
        <w:spacing w:after="120"/>
        <w:ind w:left="284" w:hanging="284"/>
        <w:rPr>
          <w:rFonts w:ascii="Book Antiqua" w:hAnsi="Book Antiqua"/>
          <w:lang w:val="en-US"/>
        </w:rPr>
      </w:pPr>
      <w:r w:rsidRPr="003971F1">
        <w:rPr>
          <w:rFonts w:ascii="Book Antiqua" w:hAnsi="Book Antiqua"/>
          <w:lang w:val="en-US"/>
        </w:rPr>
        <w:t>Heikkinen, A., Kujala, J., Laine, M., &amp; Makela, H. (2017). Discourse Analysis as a Method for Business Ethics and Corporate Responsibility Research. In: Cambridge Handbook of Research Approaches to Business Ethics and Corporate Responsibility, 138.</w:t>
      </w:r>
    </w:p>
    <w:p w14:paraId="2A774FF0" w14:textId="43724A01" w:rsidR="00B229D4" w:rsidRPr="00B229D4" w:rsidRDefault="00B229D4" w:rsidP="00B229D4">
      <w:pPr>
        <w:snapToGrid w:val="0"/>
        <w:spacing w:after="120"/>
        <w:ind w:left="284" w:hanging="284"/>
        <w:rPr>
          <w:rFonts w:ascii="Book Antiqua" w:hAnsi="Book Antiqua"/>
          <w:lang w:val="en-US"/>
        </w:rPr>
      </w:pPr>
      <w:r w:rsidRPr="003971F1">
        <w:rPr>
          <w:rFonts w:ascii="Book Antiqua" w:hAnsi="Book Antiqua"/>
          <w:lang w:val="en-US"/>
        </w:rPr>
        <w:t>Henriques, I., &amp; Sadorsky, P. (1999). The relationship between environmental commitment and managerial perceptions of stakeholder importance.</w:t>
      </w:r>
      <w:r>
        <w:rPr>
          <w:rFonts w:ascii="Book Antiqua" w:hAnsi="Book Antiqua"/>
          <w:lang w:val="en-US"/>
        </w:rPr>
        <w:t xml:space="preserve"> Academy of management Journal, 42(1), 87-99.</w:t>
      </w:r>
    </w:p>
    <w:p w14:paraId="06886082" w14:textId="474ABC2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Herremans, I. M., Nazari, J. A. and Mahmoudian, F. (2016) ‘Stakeholder Relationships, Engagement, and Sustainability Reporting’, </w:t>
      </w:r>
      <w:r w:rsidRPr="00846BF6">
        <w:rPr>
          <w:rFonts w:ascii="Book Antiqua" w:hAnsi="Book Antiqua"/>
          <w:i/>
          <w:iCs/>
          <w:noProof/>
          <w:lang w:val="en-GB"/>
        </w:rPr>
        <w:t>Journal of Business Ethics</w:t>
      </w:r>
      <w:r w:rsidRPr="00846BF6">
        <w:rPr>
          <w:rFonts w:ascii="Book Antiqua" w:hAnsi="Book Antiqua"/>
          <w:noProof/>
          <w:lang w:val="en-GB"/>
        </w:rPr>
        <w:t>. Springer Netherlands, 138(3), pp. 417–435. doi: 10.1007/s10551-015-2634-0.</w:t>
      </w:r>
    </w:p>
    <w:p w14:paraId="38EB0530"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Krippendorff, K. (2004) </w:t>
      </w:r>
      <w:r w:rsidRPr="00846BF6">
        <w:rPr>
          <w:rFonts w:ascii="Book Antiqua" w:hAnsi="Book Antiqua"/>
          <w:i/>
          <w:iCs/>
          <w:noProof/>
          <w:lang w:val="en-GB"/>
        </w:rPr>
        <w:t>Content Analysis: An Introduction to Its Methodology</w:t>
      </w:r>
      <w:r w:rsidRPr="00846BF6">
        <w:rPr>
          <w:rFonts w:ascii="Book Antiqua" w:hAnsi="Book Antiqua"/>
          <w:noProof/>
          <w:lang w:val="en-GB"/>
        </w:rPr>
        <w:t>. (2nd ed.). London: Sage Publications. doi: 10.2307/2288384.</w:t>
      </w:r>
    </w:p>
    <w:p w14:paraId="2B32DCFC"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Laine, M. (2010) ‘The Nature of Nature as a Stakeholder’, </w:t>
      </w:r>
      <w:r w:rsidRPr="00846BF6">
        <w:rPr>
          <w:rFonts w:ascii="Book Antiqua" w:hAnsi="Book Antiqua"/>
          <w:i/>
          <w:iCs/>
          <w:noProof/>
          <w:lang w:val="en-GB"/>
        </w:rPr>
        <w:t>Journal of Business Ethics</w:t>
      </w:r>
      <w:r w:rsidRPr="00846BF6">
        <w:rPr>
          <w:rFonts w:ascii="Book Antiqua" w:hAnsi="Book Antiqua"/>
          <w:noProof/>
          <w:lang w:val="en-GB"/>
        </w:rPr>
        <w:t>, (July), pp. 73–78. doi: 10.1007/s10551-011-0936-4.</w:t>
      </w:r>
    </w:p>
    <w:p w14:paraId="59548244"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Livesey, S. M. and Kearins, K. (2002) ‘Transparent and Caring Corporations?’, </w:t>
      </w:r>
      <w:r w:rsidRPr="00846BF6">
        <w:rPr>
          <w:rFonts w:ascii="Book Antiqua" w:hAnsi="Book Antiqua"/>
          <w:i/>
          <w:iCs/>
          <w:noProof/>
          <w:lang w:val="en-GB"/>
        </w:rPr>
        <w:t>Organization &amp; Environment</w:t>
      </w:r>
      <w:r w:rsidRPr="00846BF6">
        <w:rPr>
          <w:rFonts w:ascii="Book Antiqua" w:hAnsi="Book Antiqua"/>
          <w:noProof/>
          <w:lang w:val="en-GB"/>
        </w:rPr>
        <w:t>, 15(3), pp. 233–258. doi: 10.1177/1086026602153001.</w:t>
      </w:r>
    </w:p>
    <w:p w14:paraId="3710AF5A" w14:textId="6A5097DB" w:rsidR="00B229D4" w:rsidRPr="00846BF6" w:rsidRDefault="00C9686C" w:rsidP="00B229D4">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Lock, I. and Seele, P. (2015) ‘Quantitative content analysis as a method for business ethics research’, </w:t>
      </w:r>
      <w:r w:rsidRPr="00846BF6">
        <w:rPr>
          <w:rFonts w:ascii="Book Antiqua" w:hAnsi="Book Antiqua"/>
          <w:i/>
          <w:iCs/>
          <w:noProof/>
          <w:lang w:val="en-GB"/>
        </w:rPr>
        <w:t>Business Ethics: A European Review</w:t>
      </w:r>
      <w:r w:rsidRPr="00846BF6">
        <w:rPr>
          <w:rFonts w:ascii="Book Antiqua" w:hAnsi="Book Antiqua"/>
          <w:noProof/>
          <w:lang w:val="en-GB"/>
        </w:rPr>
        <w:t>, 24(S1), pp. S</w:t>
      </w:r>
      <w:r w:rsidR="00B229D4" w:rsidRPr="00846BF6">
        <w:rPr>
          <w:rFonts w:ascii="Book Antiqua" w:hAnsi="Book Antiqua"/>
          <w:noProof/>
          <w:lang w:val="en-GB"/>
        </w:rPr>
        <w:t>24–S40. doi: 10.1111/beer.12095.</w:t>
      </w:r>
    </w:p>
    <w:p w14:paraId="44D307A1" w14:textId="43895CFD" w:rsidR="00B229D4" w:rsidRPr="00B229D4" w:rsidRDefault="00B229D4" w:rsidP="00B229D4">
      <w:pPr>
        <w:snapToGrid w:val="0"/>
        <w:spacing w:after="120"/>
        <w:ind w:left="284" w:hanging="284"/>
        <w:rPr>
          <w:rFonts w:ascii="Book Antiqua" w:hAnsi="Book Antiqua"/>
          <w:lang w:val="en-US"/>
        </w:rPr>
      </w:pPr>
      <w:r w:rsidRPr="003971F1">
        <w:rPr>
          <w:rFonts w:ascii="Book Antiqua" w:hAnsi="Book Antiqua"/>
          <w:lang w:val="en-US"/>
        </w:rPr>
        <w:t>Madsen, H., &amp; Ulhøi, J. P. (2001). Integrating environmental and stakeholder management. Business strategy and</w:t>
      </w:r>
      <w:r>
        <w:rPr>
          <w:rFonts w:ascii="Book Antiqua" w:hAnsi="Book Antiqua"/>
          <w:lang w:val="en-US"/>
        </w:rPr>
        <w:t xml:space="preserve"> the environment, 10(2), 77-88.</w:t>
      </w:r>
    </w:p>
    <w:p w14:paraId="665E36FD"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Mahoney, S., C. </w:t>
      </w:r>
      <w:r w:rsidRPr="00846BF6">
        <w:rPr>
          <w:rFonts w:ascii="Book Antiqua" w:hAnsi="Book Antiqua"/>
          <w:i/>
          <w:iCs/>
          <w:noProof/>
          <w:lang w:val="en-GB"/>
        </w:rPr>
        <w:t>et al.</w:t>
      </w:r>
      <w:r w:rsidRPr="00846BF6">
        <w:rPr>
          <w:rFonts w:ascii="Book Antiqua" w:hAnsi="Book Antiqua"/>
          <w:noProof/>
          <w:lang w:val="en-GB"/>
        </w:rPr>
        <w:t xml:space="preserve"> (2013) ‘A research note on standalone corporate social responsibility reports: Signaling or greenwashing?’, </w:t>
      </w:r>
      <w:r w:rsidRPr="00846BF6">
        <w:rPr>
          <w:rFonts w:ascii="Book Antiqua" w:hAnsi="Book Antiqua"/>
          <w:i/>
          <w:iCs/>
          <w:noProof/>
          <w:lang w:val="en-GB"/>
        </w:rPr>
        <w:t>Critical Perspectives on Accounting</w:t>
      </w:r>
      <w:r w:rsidRPr="00846BF6">
        <w:rPr>
          <w:rFonts w:ascii="Book Antiqua" w:hAnsi="Book Antiqua"/>
          <w:noProof/>
          <w:lang w:val="en-GB"/>
        </w:rPr>
        <w:t>. Elsevier Ltd, 24(4–5), pp. 350–359. doi: 10.1016/j.cpa.2012.09.008.</w:t>
      </w:r>
    </w:p>
    <w:p w14:paraId="47707F45"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Martin, J.-L., Maris, V. and Simberloff, D. S. (2016) ‘The need to respect nature and its limits challenges society and conservation science’, </w:t>
      </w:r>
      <w:r w:rsidRPr="00846BF6">
        <w:rPr>
          <w:rFonts w:ascii="Book Antiqua" w:hAnsi="Book Antiqua"/>
          <w:i/>
          <w:iCs/>
          <w:noProof/>
          <w:lang w:val="en-GB"/>
        </w:rPr>
        <w:t>Proceedings of the National Academy of Sciences</w:t>
      </w:r>
      <w:r w:rsidRPr="00846BF6">
        <w:rPr>
          <w:rFonts w:ascii="Book Antiqua" w:hAnsi="Book Antiqua"/>
          <w:noProof/>
          <w:lang w:val="en-GB"/>
        </w:rPr>
        <w:t>, 113(22), pp. 6105–6112. doi: 10.1073/pnas.1525003113.</w:t>
      </w:r>
    </w:p>
    <w:p w14:paraId="41CF6178"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Mason, J. (2006) </w:t>
      </w:r>
      <w:r w:rsidRPr="00846BF6">
        <w:rPr>
          <w:rFonts w:ascii="Book Antiqua" w:hAnsi="Book Antiqua"/>
          <w:i/>
          <w:iCs/>
          <w:noProof/>
          <w:lang w:val="en-GB"/>
        </w:rPr>
        <w:t>Qualitative researching</w:t>
      </w:r>
      <w:r w:rsidRPr="00846BF6">
        <w:rPr>
          <w:rFonts w:ascii="Book Antiqua" w:hAnsi="Book Antiqua"/>
          <w:noProof/>
          <w:lang w:val="en-GB"/>
        </w:rPr>
        <w:t>. Sage.</w:t>
      </w:r>
    </w:p>
    <w:p w14:paraId="4BDB058B"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Matten, D. </w:t>
      </w:r>
      <w:r w:rsidRPr="00846BF6">
        <w:rPr>
          <w:rFonts w:ascii="Book Antiqua" w:hAnsi="Book Antiqua"/>
          <w:i/>
          <w:iCs/>
          <w:noProof/>
          <w:lang w:val="en-GB"/>
        </w:rPr>
        <w:t>et al.</w:t>
      </w:r>
      <w:r w:rsidRPr="00846BF6">
        <w:rPr>
          <w:rFonts w:ascii="Book Antiqua" w:hAnsi="Book Antiqua"/>
          <w:noProof/>
          <w:lang w:val="en-GB"/>
        </w:rPr>
        <w:t xml:space="preserve"> (2008) ‘" Implicit " and " Explicit " CSR</w:t>
      </w:r>
      <w:r w:rsidRPr="00846BF6">
        <w:rPr>
          <w:noProof/>
          <w:lang w:val="en-GB"/>
        </w:rPr>
        <w:t> </w:t>
      </w:r>
      <w:r w:rsidRPr="00846BF6">
        <w:rPr>
          <w:rFonts w:ascii="Book Antiqua" w:hAnsi="Book Antiqua"/>
          <w:noProof/>
          <w:lang w:val="en-GB"/>
        </w:rPr>
        <w:t xml:space="preserve">: A Conceptual Framework for a Comparative Understanding of Corporate Social Responsibility’, </w:t>
      </w:r>
      <w:r w:rsidRPr="00846BF6">
        <w:rPr>
          <w:rFonts w:ascii="Book Antiqua" w:hAnsi="Book Antiqua"/>
          <w:i/>
          <w:iCs/>
          <w:noProof/>
          <w:lang w:val="en-GB"/>
        </w:rPr>
        <w:t>The Academy of Management Review</w:t>
      </w:r>
      <w:r w:rsidRPr="00846BF6">
        <w:rPr>
          <w:rFonts w:ascii="Book Antiqua" w:hAnsi="Book Antiqua"/>
          <w:noProof/>
          <w:lang w:val="en-GB"/>
        </w:rPr>
        <w:t>, 33(2), pp. 404–424.</w:t>
      </w:r>
    </w:p>
    <w:p w14:paraId="2C70943E"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Miles, M. B., Huberman, M. A. and Saldana, J. (2014) </w:t>
      </w:r>
      <w:r w:rsidRPr="00846BF6">
        <w:rPr>
          <w:rFonts w:ascii="Book Antiqua" w:hAnsi="Book Antiqua"/>
          <w:i/>
          <w:iCs/>
          <w:noProof/>
          <w:lang w:val="en-GB"/>
        </w:rPr>
        <w:t>Qualitative Data Analysis: A Methods Sourcebook</w:t>
      </w:r>
      <w:r w:rsidRPr="00846BF6">
        <w:rPr>
          <w:rFonts w:ascii="Book Antiqua" w:hAnsi="Book Antiqua"/>
          <w:noProof/>
          <w:lang w:val="en-GB"/>
        </w:rPr>
        <w:t>. SAGE Publications Inc.</w:t>
      </w:r>
    </w:p>
    <w:p w14:paraId="75F3D3D4"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Moratis, L. and Brandt, S. (2017) ‘Corporate stakeholder responsiveness? Exploring the state and quality of GRI-based stakeholder engagement disclosures of European firms’, </w:t>
      </w:r>
      <w:r w:rsidRPr="00846BF6">
        <w:rPr>
          <w:rFonts w:ascii="Book Antiqua" w:hAnsi="Book Antiqua"/>
          <w:i/>
          <w:iCs/>
          <w:noProof/>
          <w:lang w:val="en-GB"/>
        </w:rPr>
        <w:t>Corporate Social Responsibility and Environmental Management</w:t>
      </w:r>
      <w:r w:rsidRPr="00846BF6">
        <w:rPr>
          <w:rFonts w:ascii="Book Antiqua" w:hAnsi="Book Antiqua"/>
          <w:noProof/>
          <w:lang w:val="en-GB"/>
        </w:rPr>
        <w:t>, 24(4), pp. 312–325. doi: 10.1002/csr.1408.</w:t>
      </w:r>
    </w:p>
    <w:p w14:paraId="26126CE5"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Morrison, L., Wilmshurst, T. and Shimeld, S. (2018) ‘Environmental Reporting Through an Ethical Looking Glass’, </w:t>
      </w:r>
      <w:r w:rsidRPr="00846BF6">
        <w:rPr>
          <w:rFonts w:ascii="Book Antiqua" w:hAnsi="Book Antiqua"/>
          <w:i/>
          <w:iCs/>
          <w:noProof/>
          <w:lang w:val="en-GB"/>
        </w:rPr>
        <w:t>Journal of Business Ethics</w:t>
      </w:r>
      <w:r w:rsidRPr="00846BF6">
        <w:rPr>
          <w:rFonts w:ascii="Book Antiqua" w:hAnsi="Book Antiqua"/>
          <w:noProof/>
          <w:lang w:val="en-GB"/>
        </w:rPr>
        <w:t xml:space="preserve">. Springer </w:t>
      </w:r>
      <w:r w:rsidRPr="00846BF6">
        <w:rPr>
          <w:rFonts w:ascii="Book Antiqua" w:hAnsi="Book Antiqua"/>
          <w:noProof/>
          <w:lang w:val="en-GB"/>
        </w:rPr>
        <w:lastRenderedPageBreak/>
        <w:t>Netherlands, 150(4), pp. 903–918. doi: 10.1007/s10551-016-3136-4.</w:t>
      </w:r>
    </w:p>
    <w:p w14:paraId="2BE850DA" w14:textId="1A52C22E"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Onkila, T. J. (2009) ‘Corporate Argumentation for Acceptability</w:t>
      </w:r>
      <w:r w:rsidRPr="00846BF6">
        <w:rPr>
          <w:noProof/>
          <w:lang w:val="en-GB"/>
        </w:rPr>
        <w:t> </w:t>
      </w:r>
      <w:r w:rsidRPr="00846BF6">
        <w:rPr>
          <w:rFonts w:ascii="Book Antiqua" w:hAnsi="Book Antiqua"/>
          <w:noProof/>
          <w:lang w:val="en-GB"/>
        </w:rPr>
        <w:t>: Reflections of Environmental Values and Stakeholder Relations in Corporate Environmental’, pp. 285–298. doi: 10.1007/s10551-008-9885-y.</w:t>
      </w:r>
    </w:p>
    <w:p w14:paraId="73F02836" w14:textId="1E6E0DA9" w:rsidR="00B229D4" w:rsidRPr="00B229D4" w:rsidRDefault="00B229D4" w:rsidP="00B229D4">
      <w:pPr>
        <w:spacing w:after="120" w:line="276" w:lineRule="auto"/>
        <w:ind w:left="284" w:right="198" w:hanging="284"/>
        <w:rPr>
          <w:rFonts w:ascii="Book Antiqua" w:hAnsi="Book Antiqua"/>
          <w:lang w:val="en-US"/>
        </w:rPr>
      </w:pPr>
      <w:r w:rsidRPr="00B229D4">
        <w:rPr>
          <w:rFonts w:ascii="Book Antiqua" w:hAnsi="Book Antiqua"/>
          <w:lang w:val="en-US"/>
        </w:rPr>
        <w:t>Patriotta, G., Gond, J., and Schultz, F. (2011). ‘Maintaining legitimacy: Controversies, orders of worth, and public justifications’, Journal of Management Studies, 48(8), 1804-1836.</w:t>
      </w:r>
    </w:p>
    <w:p w14:paraId="0A7295DD"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Patton, M. Q. (1990) </w:t>
      </w:r>
      <w:r w:rsidRPr="00846BF6">
        <w:rPr>
          <w:rFonts w:ascii="Book Antiqua" w:hAnsi="Book Antiqua"/>
          <w:i/>
          <w:iCs/>
          <w:noProof/>
          <w:lang w:val="en-GB"/>
        </w:rPr>
        <w:t>Qualitative evaluation and research methods</w:t>
      </w:r>
      <w:r w:rsidRPr="00846BF6">
        <w:rPr>
          <w:rFonts w:ascii="Book Antiqua" w:hAnsi="Book Antiqua"/>
          <w:noProof/>
          <w:lang w:val="en-GB"/>
        </w:rPr>
        <w:t>. SAGE Publications, inc.</w:t>
      </w:r>
    </w:p>
    <w:p w14:paraId="68EBEA84"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Phillips, R. (2003) ‘Stakeholder Legitimacy’, </w:t>
      </w:r>
      <w:r w:rsidRPr="00846BF6">
        <w:rPr>
          <w:rFonts w:ascii="Book Antiqua" w:hAnsi="Book Antiqua"/>
          <w:i/>
          <w:iCs/>
          <w:noProof/>
          <w:lang w:val="en-GB"/>
        </w:rPr>
        <w:t>Business Ethics Quarterly</w:t>
      </w:r>
      <w:r w:rsidRPr="00846BF6">
        <w:rPr>
          <w:rFonts w:ascii="Book Antiqua" w:hAnsi="Book Antiqua"/>
          <w:noProof/>
          <w:lang w:val="en-GB"/>
        </w:rPr>
        <w:t>, 13(1), pp. 25–41.</w:t>
      </w:r>
    </w:p>
    <w:p w14:paraId="3D90C2BD"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Post, J. E. (1978) </w:t>
      </w:r>
      <w:r w:rsidRPr="00846BF6">
        <w:rPr>
          <w:rFonts w:ascii="Book Antiqua" w:hAnsi="Book Antiqua"/>
          <w:i/>
          <w:iCs/>
          <w:noProof/>
          <w:lang w:val="en-GB"/>
        </w:rPr>
        <w:t>Corporate behavior and social change</w:t>
      </w:r>
      <w:r w:rsidRPr="00846BF6">
        <w:rPr>
          <w:rFonts w:ascii="Book Antiqua" w:hAnsi="Book Antiqua"/>
          <w:noProof/>
          <w:lang w:val="en-GB"/>
        </w:rPr>
        <w:t>. Reston.</w:t>
      </w:r>
    </w:p>
    <w:p w14:paraId="758B9F01"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Provasnek, A. K., Schmid, E. and Steiner, G. (2018) ‘Stakeholder Engagement: Keeping Business Legitimate in Austria’s Natural Mineral Water Bottling Industry’, </w:t>
      </w:r>
      <w:r w:rsidRPr="00846BF6">
        <w:rPr>
          <w:rFonts w:ascii="Book Antiqua" w:hAnsi="Book Antiqua"/>
          <w:i/>
          <w:iCs/>
          <w:noProof/>
          <w:lang w:val="en-GB"/>
        </w:rPr>
        <w:t>Journal of Business Ethics</w:t>
      </w:r>
      <w:r w:rsidRPr="00846BF6">
        <w:rPr>
          <w:rFonts w:ascii="Book Antiqua" w:hAnsi="Book Antiqua"/>
          <w:noProof/>
          <w:lang w:val="en-GB"/>
        </w:rPr>
        <w:t>. Springer Netherlands, 150(2), pp. 467–484. doi: 10.1007/s10551-016-3121-y.</w:t>
      </w:r>
    </w:p>
    <w:p w14:paraId="085FDB1C" w14:textId="77777777"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 xml:space="preserve">Puroila, J. and Mäkelä, H. (2019) ‘Matter of opinion: Exploring the socio-political nature of materiality disclosures in sustainability reporting’, </w:t>
      </w:r>
      <w:r w:rsidRPr="00846BF6">
        <w:rPr>
          <w:rFonts w:ascii="Book Antiqua" w:hAnsi="Book Antiqua"/>
          <w:i/>
          <w:iCs/>
          <w:noProof/>
          <w:lang w:val="en-GB"/>
        </w:rPr>
        <w:t>Accounting, Auditing and Accountability Journal</w:t>
      </w:r>
      <w:r w:rsidRPr="00846BF6">
        <w:rPr>
          <w:rFonts w:ascii="Book Antiqua" w:hAnsi="Book Antiqua"/>
          <w:noProof/>
          <w:lang w:val="en-GB"/>
        </w:rPr>
        <w:t>. doi: 10.1108/AAAJ-11-2016-2788.</w:t>
      </w:r>
    </w:p>
    <w:p w14:paraId="60656A75" w14:textId="797426A9" w:rsidR="00C9686C" w:rsidRPr="00846BF6" w:rsidRDefault="00C9686C" w:rsidP="00641978">
      <w:pPr>
        <w:widowControl w:val="0"/>
        <w:autoSpaceDE w:val="0"/>
        <w:autoSpaceDN w:val="0"/>
        <w:adjustRightInd w:val="0"/>
        <w:spacing w:after="120"/>
        <w:ind w:left="284" w:hanging="284"/>
        <w:rPr>
          <w:rFonts w:ascii="Book Antiqua" w:hAnsi="Book Antiqua"/>
          <w:noProof/>
          <w:lang w:val="en-GB"/>
        </w:rPr>
      </w:pPr>
      <w:r w:rsidRPr="00846BF6">
        <w:rPr>
          <w:rFonts w:ascii="Book Antiqua" w:hAnsi="Book Antiqua"/>
          <w:noProof/>
          <w:lang w:val="en-GB"/>
        </w:rPr>
        <w:t>Riordan, L. O. and Fairbrass, J. (2014) ‘Managing CSR Stakeholder Engagement</w:t>
      </w:r>
      <w:r w:rsidRPr="00846BF6">
        <w:rPr>
          <w:noProof/>
          <w:lang w:val="en-GB"/>
        </w:rPr>
        <w:t> </w:t>
      </w:r>
      <w:r w:rsidRPr="00846BF6">
        <w:rPr>
          <w:rFonts w:ascii="Book Antiqua" w:hAnsi="Book Antiqua"/>
          <w:noProof/>
          <w:lang w:val="en-GB"/>
        </w:rPr>
        <w:t>: A New Conceptual Framework’, pp. 121–145. doi: 10.1007/s10551-013-1913-x.</w:t>
      </w:r>
    </w:p>
    <w:p w14:paraId="77FC1F7F" w14:textId="77B5F589" w:rsidR="00B229D4" w:rsidRPr="00B229D4" w:rsidRDefault="00B229D4" w:rsidP="00B229D4">
      <w:pPr>
        <w:snapToGrid w:val="0"/>
        <w:spacing w:after="120"/>
        <w:ind w:left="284" w:hanging="284"/>
        <w:rPr>
          <w:rFonts w:ascii="Book Antiqua" w:hAnsi="Book Antiqua"/>
          <w:lang w:val="en-US"/>
        </w:rPr>
      </w:pPr>
      <w:r w:rsidRPr="003971F1">
        <w:rPr>
          <w:rFonts w:ascii="Book Antiqua" w:hAnsi="Book Antiqua"/>
          <w:lang w:val="en-US"/>
        </w:rPr>
        <w:t>Rodrigue, M. (2014). Contrasting realities: corporate environmental disclosure and stakeholder-released information. Accounting, Auditing &amp; Accountability Journal, 27(1), 119-149.</w:t>
      </w:r>
    </w:p>
    <w:p w14:paraId="2DB1E791" w14:textId="3613F53D" w:rsidR="00C9686C" w:rsidRDefault="00C9686C" w:rsidP="00641978">
      <w:pPr>
        <w:widowControl w:val="0"/>
        <w:autoSpaceDE w:val="0"/>
        <w:autoSpaceDN w:val="0"/>
        <w:adjustRightInd w:val="0"/>
        <w:spacing w:after="120"/>
        <w:ind w:left="284" w:hanging="284"/>
        <w:rPr>
          <w:rFonts w:ascii="Book Antiqua" w:hAnsi="Book Antiqua"/>
          <w:noProof/>
          <w:lang w:val="en-GB"/>
        </w:rPr>
      </w:pPr>
      <w:r w:rsidRPr="006F62F1">
        <w:rPr>
          <w:rFonts w:ascii="Book Antiqua" w:hAnsi="Book Antiqua"/>
          <w:noProof/>
          <w:lang w:val="en-GB"/>
        </w:rPr>
        <w:t xml:space="preserve">Rodrigue, M., Cho, C. H. and Laine, M. (2015) ‘Volume and Tone of Environmental Disclosure: A Comparative Analysis of a Corporation and its Stakeholders’, </w:t>
      </w:r>
      <w:r w:rsidRPr="006F62F1">
        <w:rPr>
          <w:rFonts w:ascii="Book Antiqua" w:hAnsi="Book Antiqua"/>
          <w:i/>
          <w:iCs/>
          <w:noProof/>
          <w:lang w:val="en-GB"/>
        </w:rPr>
        <w:t>Social and Environmental Accountability Journal</w:t>
      </w:r>
      <w:r w:rsidRPr="006F62F1">
        <w:rPr>
          <w:rFonts w:ascii="Book Antiqua" w:hAnsi="Book Antiqua"/>
          <w:noProof/>
          <w:lang w:val="en-GB"/>
        </w:rPr>
        <w:t>. Taylor &amp; Francis, 35(1), pp. 1–16. doi: 10.1080/0969160X.2015.1007465.</w:t>
      </w:r>
    </w:p>
    <w:p w14:paraId="36B3FD34" w14:textId="28EA2FC3" w:rsidR="006F62F1" w:rsidRDefault="006F62F1" w:rsidP="00641978">
      <w:pPr>
        <w:widowControl w:val="0"/>
        <w:autoSpaceDE w:val="0"/>
        <w:autoSpaceDN w:val="0"/>
        <w:adjustRightInd w:val="0"/>
        <w:spacing w:after="120"/>
        <w:ind w:left="284" w:hanging="284"/>
        <w:rPr>
          <w:rFonts w:ascii="Book Antiqua" w:hAnsi="Book Antiqua"/>
          <w:noProof/>
          <w:lang w:val="en-GB"/>
        </w:rPr>
      </w:pPr>
    </w:p>
    <w:p w14:paraId="3B371C50" w14:textId="5AEB1043" w:rsidR="006F62F1" w:rsidRPr="006F62F1" w:rsidRDefault="006F62F1" w:rsidP="00641978">
      <w:pPr>
        <w:widowControl w:val="0"/>
        <w:autoSpaceDE w:val="0"/>
        <w:autoSpaceDN w:val="0"/>
        <w:adjustRightInd w:val="0"/>
        <w:spacing w:after="120"/>
        <w:ind w:left="284" w:hanging="284"/>
        <w:rPr>
          <w:rFonts w:ascii="Book Antiqua" w:hAnsi="Book Antiqua"/>
          <w:noProof/>
          <w:lang w:val="en-GB"/>
        </w:rPr>
      </w:pPr>
      <w:hyperlink r:id="rId14" w:tooltip="Mahdi Salehi" w:history="1">
        <w:r w:rsidRPr="00846BF6">
          <w:rPr>
            <w:rStyle w:val="Collegamentoipertestuale"/>
            <w:rFonts w:cs="Arial"/>
            <w:noProof/>
            <w:shd w:val="clear" w:color="auto" w:fill="FFFFFF"/>
            <w:lang w:val="en-GB"/>
          </w:rPr>
          <w:t>Salehi, M</w:t>
        </w:r>
        <w:r w:rsidRPr="00846BF6">
          <w:rPr>
            <w:rStyle w:val="Collegamentoipertestuale"/>
            <w:rFonts w:ascii="Arial" w:hAnsi="Arial" w:cs="Arial"/>
            <w:shd w:val="clear" w:color="auto" w:fill="FFFFFF"/>
            <w:lang w:val="en-GB"/>
          </w:rPr>
          <w:t>.</w:t>
        </w:r>
      </w:hyperlink>
      <w:r w:rsidRPr="00846BF6">
        <w:rPr>
          <w:rFonts w:ascii="Arial" w:hAnsi="Arial" w:cs="Arial"/>
          <w:shd w:val="clear" w:color="auto" w:fill="FFFFFF"/>
          <w:lang w:val="en-GB"/>
        </w:rPr>
        <w:t>, </w:t>
      </w:r>
      <w:hyperlink r:id="rId15" w:tooltip="Mahmoud Lari DashtBayaz" w:history="1">
        <w:r w:rsidRPr="00846BF6">
          <w:rPr>
            <w:rFonts w:ascii="Book Antiqua" w:hAnsi="Book Antiqua"/>
            <w:noProof/>
            <w:lang w:val="en-GB"/>
          </w:rPr>
          <w:t>Lari DashtBayaz, M.</w:t>
        </w:r>
      </w:hyperlink>
      <w:r w:rsidRPr="00846BF6">
        <w:rPr>
          <w:rFonts w:ascii="Book Antiqua" w:hAnsi="Book Antiqua"/>
          <w:noProof/>
          <w:lang w:val="en-GB"/>
        </w:rPr>
        <w:t> and </w:t>
      </w:r>
      <w:hyperlink r:id="rId16" w:tooltip="Sohila Khorashadizadeh" w:history="1">
        <w:r w:rsidRPr="00846BF6">
          <w:rPr>
            <w:rFonts w:ascii="Book Antiqua" w:hAnsi="Book Antiqua"/>
            <w:noProof/>
            <w:lang w:val="en-GB"/>
          </w:rPr>
          <w:t>Khorashadizadeh, S.</w:t>
        </w:r>
      </w:hyperlink>
      <w:r w:rsidRPr="00846BF6">
        <w:rPr>
          <w:rFonts w:ascii="Book Antiqua" w:hAnsi="Book Antiqua"/>
          <w:noProof/>
          <w:lang w:val="en-GB"/>
        </w:rPr>
        <w:t> (2018), "Corporate social responsibility and future financial performance", </w:t>
      </w:r>
      <w:hyperlink r:id="rId17" w:history="1">
        <w:r w:rsidRPr="00846BF6">
          <w:rPr>
            <w:rFonts w:ascii="Book Antiqua" w:hAnsi="Book Antiqua"/>
            <w:noProof/>
            <w:lang w:val="en-GB"/>
          </w:rPr>
          <w:t>EuroMed Journal of Business</w:t>
        </w:r>
      </w:hyperlink>
      <w:r w:rsidRPr="00846BF6">
        <w:rPr>
          <w:rFonts w:ascii="Book Antiqua" w:hAnsi="Book Antiqua"/>
          <w:noProof/>
          <w:lang w:val="en-GB"/>
        </w:rPr>
        <w:t>, Vol. 13 No. 3, pp. 351-371. </w:t>
      </w:r>
      <w:hyperlink r:id="rId18" w:tooltip="DOI: https://doi.org/10.1108/EMJB-11-2017-0044" w:history="1">
        <w:r w:rsidRPr="00846BF6">
          <w:rPr>
            <w:rFonts w:ascii="Book Antiqua" w:hAnsi="Book Antiqua"/>
            <w:noProof/>
            <w:lang w:val="en-GB"/>
          </w:rPr>
          <w:t>https://doi.org/10.1108/EMJB-11-2017-0044</w:t>
        </w:r>
      </w:hyperlink>
    </w:p>
    <w:p w14:paraId="40FAE4E9" w14:textId="77777777" w:rsidR="006F62F1" w:rsidRPr="006F62F1" w:rsidRDefault="006F62F1" w:rsidP="00641978">
      <w:pPr>
        <w:widowControl w:val="0"/>
        <w:autoSpaceDE w:val="0"/>
        <w:autoSpaceDN w:val="0"/>
        <w:adjustRightInd w:val="0"/>
        <w:spacing w:after="120"/>
        <w:ind w:left="284" w:hanging="284"/>
        <w:rPr>
          <w:rFonts w:ascii="Book Antiqua" w:hAnsi="Book Antiqua"/>
          <w:noProof/>
          <w:lang w:val="en-GB"/>
        </w:rPr>
      </w:pPr>
    </w:p>
    <w:p w14:paraId="1D0D7015" w14:textId="77777777" w:rsidR="00C9686C" w:rsidRPr="006F62F1" w:rsidRDefault="00C9686C" w:rsidP="00641978">
      <w:pPr>
        <w:widowControl w:val="0"/>
        <w:autoSpaceDE w:val="0"/>
        <w:autoSpaceDN w:val="0"/>
        <w:adjustRightInd w:val="0"/>
        <w:spacing w:after="120"/>
        <w:ind w:left="284" w:hanging="284"/>
        <w:rPr>
          <w:rFonts w:ascii="Book Antiqua" w:hAnsi="Book Antiqua"/>
          <w:noProof/>
          <w:lang w:val="en-GB"/>
        </w:rPr>
      </w:pPr>
      <w:r w:rsidRPr="006F62F1">
        <w:rPr>
          <w:rFonts w:ascii="Book Antiqua" w:hAnsi="Book Antiqua"/>
          <w:noProof/>
          <w:lang w:val="en-GB"/>
        </w:rPr>
        <w:t xml:space="preserve">Seele, P. and Lock, I. (2015) ‘Instrumental and/or deliberative? A typology of CSR communication tools’, </w:t>
      </w:r>
      <w:r w:rsidRPr="006F62F1">
        <w:rPr>
          <w:rFonts w:ascii="Book Antiqua" w:hAnsi="Book Antiqua"/>
          <w:i/>
          <w:iCs/>
          <w:noProof/>
          <w:lang w:val="en-GB"/>
        </w:rPr>
        <w:t>Journal of Business Ethics</w:t>
      </w:r>
      <w:r w:rsidRPr="006F62F1">
        <w:rPr>
          <w:rFonts w:ascii="Book Antiqua" w:hAnsi="Book Antiqua"/>
          <w:noProof/>
          <w:lang w:val="en-GB"/>
        </w:rPr>
        <w:t>. Springer, 131(2), pp. 401–414.</w:t>
      </w:r>
    </w:p>
    <w:p w14:paraId="27919745" w14:textId="77777777" w:rsidR="00C9686C" w:rsidRPr="006F62F1" w:rsidRDefault="00C9686C" w:rsidP="00641978">
      <w:pPr>
        <w:widowControl w:val="0"/>
        <w:autoSpaceDE w:val="0"/>
        <w:autoSpaceDN w:val="0"/>
        <w:adjustRightInd w:val="0"/>
        <w:spacing w:after="120"/>
        <w:ind w:left="284" w:hanging="284"/>
        <w:rPr>
          <w:rFonts w:ascii="Book Antiqua" w:hAnsi="Book Antiqua"/>
          <w:noProof/>
          <w:lang w:val="en-GB"/>
        </w:rPr>
      </w:pPr>
      <w:r w:rsidRPr="006F62F1">
        <w:rPr>
          <w:rFonts w:ascii="Book Antiqua" w:hAnsi="Book Antiqua"/>
          <w:noProof/>
          <w:lang w:val="en-GB"/>
        </w:rPr>
        <w:t xml:space="preserve">Sierra-garcía, L., Zorio-grima, A. and García-benau, M. A. (2015) ‘Stakeholder Engagement, Corporate Social Responsibility and Integrated Reporting: An Exploratory Study’, </w:t>
      </w:r>
      <w:r w:rsidRPr="006F62F1">
        <w:rPr>
          <w:rFonts w:ascii="Book Antiqua" w:hAnsi="Book Antiqua"/>
          <w:i/>
          <w:iCs/>
          <w:noProof/>
          <w:lang w:val="en-GB"/>
        </w:rPr>
        <w:t>Corporate Social Responsibility and Environmental Management</w:t>
      </w:r>
      <w:r w:rsidRPr="006F62F1">
        <w:rPr>
          <w:rFonts w:ascii="Book Antiqua" w:hAnsi="Book Antiqua"/>
          <w:noProof/>
          <w:lang w:val="en-GB"/>
        </w:rPr>
        <w:t>, 22(5), pp. 286–304. doi: 10.1002/csr.1345.</w:t>
      </w:r>
    </w:p>
    <w:p w14:paraId="1764EA0A" w14:textId="77777777" w:rsidR="00C9686C" w:rsidRPr="006F62F1" w:rsidRDefault="00C9686C" w:rsidP="00641978">
      <w:pPr>
        <w:widowControl w:val="0"/>
        <w:autoSpaceDE w:val="0"/>
        <w:autoSpaceDN w:val="0"/>
        <w:adjustRightInd w:val="0"/>
        <w:spacing w:after="120"/>
        <w:ind w:left="284" w:hanging="284"/>
        <w:rPr>
          <w:rFonts w:ascii="Book Antiqua" w:hAnsi="Book Antiqua"/>
          <w:noProof/>
          <w:lang w:val="en-GB"/>
        </w:rPr>
      </w:pPr>
      <w:r w:rsidRPr="006F62F1">
        <w:rPr>
          <w:rFonts w:ascii="Book Antiqua" w:hAnsi="Book Antiqua"/>
          <w:noProof/>
          <w:lang w:val="en-GB"/>
        </w:rPr>
        <w:t xml:space="preserve">Sillanpää, M. (1998) ‘The body shop values report - Towards integrated stakeholder auditing’, </w:t>
      </w:r>
      <w:r w:rsidRPr="006F62F1">
        <w:rPr>
          <w:rFonts w:ascii="Book Antiqua" w:hAnsi="Book Antiqua"/>
          <w:i/>
          <w:iCs/>
          <w:noProof/>
          <w:lang w:val="en-GB"/>
        </w:rPr>
        <w:t>Journal of Business Ethics</w:t>
      </w:r>
      <w:r w:rsidRPr="006F62F1">
        <w:rPr>
          <w:rFonts w:ascii="Book Antiqua" w:hAnsi="Book Antiqua"/>
          <w:noProof/>
          <w:lang w:val="en-GB"/>
        </w:rPr>
        <w:t xml:space="preserve">, 17(13), pp. 1443–1456. doi: </w:t>
      </w:r>
      <w:r w:rsidRPr="006F62F1">
        <w:rPr>
          <w:rFonts w:ascii="Book Antiqua" w:hAnsi="Book Antiqua"/>
          <w:noProof/>
          <w:lang w:val="en-GB"/>
        </w:rPr>
        <w:lastRenderedPageBreak/>
        <w:t>10.1023/A:1006099731105.</w:t>
      </w:r>
    </w:p>
    <w:p w14:paraId="15734F69" w14:textId="77777777" w:rsidR="00C9686C" w:rsidRPr="00C9686C" w:rsidRDefault="00C9686C" w:rsidP="00641978">
      <w:pPr>
        <w:widowControl w:val="0"/>
        <w:autoSpaceDE w:val="0"/>
        <w:autoSpaceDN w:val="0"/>
        <w:adjustRightInd w:val="0"/>
        <w:spacing w:after="120"/>
        <w:ind w:left="284" w:hanging="284"/>
        <w:rPr>
          <w:rFonts w:ascii="Book Antiqua" w:hAnsi="Book Antiqua"/>
          <w:noProof/>
        </w:rPr>
      </w:pPr>
      <w:r w:rsidRPr="006F62F1">
        <w:rPr>
          <w:rFonts w:ascii="Book Antiqua" w:hAnsi="Book Antiqua"/>
          <w:noProof/>
          <w:lang w:val="en-GB"/>
        </w:rPr>
        <w:t xml:space="preserve">Strand, R. and Freeman, R. E. (2015) ‘Scandinavian cooperative advantage: The theory and practice of stakeholder engagement in Scandinavia’, </w:t>
      </w:r>
      <w:r w:rsidRPr="006F62F1">
        <w:rPr>
          <w:rFonts w:ascii="Book Antiqua" w:hAnsi="Book Antiqua"/>
          <w:i/>
          <w:iCs/>
          <w:noProof/>
          <w:lang w:val="en-GB"/>
        </w:rPr>
        <w:t>Journal of business ethics</w:t>
      </w:r>
      <w:r w:rsidRPr="006F62F1">
        <w:rPr>
          <w:rFonts w:ascii="Book Antiqua" w:hAnsi="Book Antiqua"/>
          <w:noProof/>
          <w:lang w:val="en-GB"/>
        </w:rPr>
        <w:t xml:space="preserve">. </w:t>
      </w:r>
      <w:r w:rsidRPr="00C9686C">
        <w:rPr>
          <w:rFonts w:ascii="Book Antiqua" w:hAnsi="Book Antiqua"/>
          <w:noProof/>
        </w:rPr>
        <w:t>Springer, 127(1), pp. 65–85.</w:t>
      </w:r>
    </w:p>
    <w:p w14:paraId="15EA3687" w14:textId="01EDE652" w:rsidR="00BE7877" w:rsidRPr="003971F1" w:rsidRDefault="00CD7A79" w:rsidP="00B229D4">
      <w:pPr>
        <w:pStyle w:val="NormaleWeb"/>
        <w:snapToGrid w:val="0"/>
        <w:spacing w:before="0" w:beforeAutospacing="0" w:after="120" w:afterAutospacing="0"/>
        <w:rPr>
          <w:rFonts w:ascii="Book Antiqua" w:hAnsi="Book Antiqua"/>
          <w:lang w:val="en-US"/>
        </w:rPr>
      </w:pPr>
      <w:r w:rsidRPr="003971F1">
        <w:rPr>
          <w:rFonts w:ascii="Book Antiqua" w:hAnsi="Book Antiqua"/>
          <w:lang w:val="en-US"/>
        </w:rPr>
        <w:fldChar w:fldCharType="end"/>
      </w:r>
      <w:r w:rsidR="00BE7877" w:rsidRPr="003971F1">
        <w:rPr>
          <w:rFonts w:ascii="Book Antiqua" w:hAnsi="Book Antiqua"/>
          <w:lang w:val="en-US"/>
        </w:rPr>
        <w:t xml:space="preserve"> </w:t>
      </w:r>
    </w:p>
    <w:p w14:paraId="13AF050E" w14:textId="59C3C5D4" w:rsidR="001665E1" w:rsidRPr="00B229D4" w:rsidRDefault="001665E1" w:rsidP="00641978">
      <w:pPr>
        <w:snapToGrid w:val="0"/>
        <w:spacing w:after="120"/>
        <w:ind w:left="284"/>
        <w:rPr>
          <w:rFonts w:ascii="Book Antiqua" w:hAnsi="Book Antiqua"/>
          <w:lang w:val="en-US"/>
        </w:rPr>
      </w:pPr>
    </w:p>
    <w:p w14:paraId="46893360" w14:textId="34C1FC69" w:rsidR="00D83CEF" w:rsidRPr="00B229D4" w:rsidRDefault="00D83CEF" w:rsidP="00641978">
      <w:pPr>
        <w:snapToGrid w:val="0"/>
        <w:spacing w:after="120"/>
        <w:ind w:left="284"/>
        <w:rPr>
          <w:rFonts w:ascii="Book Antiqua" w:hAnsi="Book Antiqua"/>
          <w:lang w:val="en-US"/>
        </w:rPr>
      </w:pPr>
    </w:p>
    <w:p w14:paraId="10FD07D6" w14:textId="77777777" w:rsidR="00D83CEF" w:rsidRPr="00B229D4" w:rsidRDefault="00D83CEF" w:rsidP="00641978">
      <w:pPr>
        <w:snapToGrid w:val="0"/>
        <w:spacing w:after="120"/>
        <w:ind w:left="284"/>
        <w:rPr>
          <w:rFonts w:ascii="Book Antiqua" w:hAnsi="Book Antiqua"/>
          <w:lang w:val="en-US"/>
        </w:rPr>
      </w:pPr>
    </w:p>
    <w:p w14:paraId="0F6EB473" w14:textId="77777777" w:rsidR="00183B3B" w:rsidRPr="003971F1" w:rsidRDefault="00183B3B" w:rsidP="00183B3B">
      <w:pPr>
        <w:rPr>
          <w:rFonts w:ascii="Book Antiqua" w:hAnsi="Book Antiqua"/>
          <w:lang w:val="en-US"/>
        </w:rPr>
      </w:pPr>
      <w:r w:rsidRPr="003971F1">
        <w:rPr>
          <w:rFonts w:ascii="Book Antiqua" w:hAnsi="Book Antiqua"/>
          <w:lang w:val="en-US"/>
        </w:rPr>
        <w:br w:type="page"/>
      </w:r>
    </w:p>
    <w:p w14:paraId="250D4744" w14:textId="77777777" w:rsidR="00183B3B" w:rsidRPr="003971F1" w:rsidRDefault="00183B3B" w:rsidP="00183B3B">
      <w:pPr>
        <w:autoSpaceDE w:val="0"/>
        <w:autoSpaceDN w:val="0"/>
        <w:adjustRightInd w:val="0"/>
        <w:spacing w:after="120"/>
        <w:jc w:val="both"/>
        <w:rPr>
          <w:rFonts w:ascii="Book Antiqua" w:hAnsi="Book Antiqua"/>
          <w:lang w:val="en-US"/>
        </w:rPr>
        <w:sectPr w:rsidR="00183B3B" w:rsidRPr="003971F1" w:rsidSect="00183B3B">
          <w:footerReference w:type="even" r:id="rId19"/>
          <w:footerReference w:type="default" r:id="rId20"/>
          <w:pgSz w:w="11906" w:h="16838"/>
          <w:pgMar w:top="1418" w:right="1418" w:bottom="1418" w:left="1418" w:header="709" w:footer="709" w:gutter="0"/>
          <w:cols w:space="708"/>
          <w:docGrid w:linePitch="360"/>
        </w:sectPr>
      </w:pPr>
    </w:p>
    <w:p w14:paraId="0AB3C72B" w14:textId="29F0D6BA" w:rsidR="00183B3B" w:rsidRPr="003971F1" w:rsidRDefault="00183B3B" w:rsidP="00193670">
      <w:pPr>
        <w:pStyle w:val="Titolo2"/>
        <w:numPr>
          <w:ilvl w:val="0"/>
          <w:numId w:val="0"/>
        </w:numPr>
        <w:ind w:left="720"/>
      </w:pPr>
      <w:r w:rsidRPr="003971F1">
        <w:lastRenderedPageBreak/>
        <w:t>Tables</w:t>
      </w:r>
    </w:p>
    <w:p w14:paraId="68B90A04" w14:textId="072D2136" w:rsidR="003971F1" w:rsidRPr="003971F1" w:rsidRDefault="00183B3B" w:rsidP="00193670">
      <w:pPr>
        <w:pStyle w:val="Titolo2"/>
        <w:numPr>
          <w:ilvl w:val="0"/>
          <w:numId w:val="0"/>
        </w:numPr>
        <w:ind w:left="720"/>
      </w:pPr>
      <w:r w:rsidRPr="003971F1">
        <w:t xml:space="preserve">Table </w:t>
      </w:r>
      <w:r w:rsidR="00565F74">
        <w:t>1</w:t>
      </w:r>
      <w:r w:rsidR="003971F1" w:rsidRPr="003971F1">
        <w:t>. Companies’ demographic information</w:t>
      </w:r>
    </w:p>
    <w:tbl>
      <w:tblPr>
        <w:tblStyle w:val="Grigliatabella"/>
        <w:tblW w:w="131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85"/>
        <w:gridCol w:w="1701"/>
        <w:gridCol w:w="1275"/>
        <w:gridCol w:w="1700"/>
        <w:gridCol w:w="2409"/>
        <w:gridCol w:w="2554"/>
      </w:tblGrid>
      <w:tr w:rsidR="003971F1" w:rsidRPr="0098682A" w14:paraId="74422190" w14:textId="77777777" w:rsidTr="003971F1">
        <w:trPr>
          <w:jc w:val="center"/>
        </w:trPr>
        <w:tc>
          <w:tcPr>
            <w:tcW w:w="1560" w:type="dxa"/>
            <w:tcBorders>
              <w:top w:val="single" w:sz="4" w:space="0" w:color="auto"/>
              <w:bottom w:val="single" w:sz="4" w:space="0" w:color="auto"/>
            </w:tcBorders>
            <w:vAlign w:val="center"/>
          </w:tcPr>
          <w:p w14:paraId="1DC226D4" w14:textId="77777777" w:rsidR="003971F1" w:rsidRPr="0098682A" w:rsidRDefault="003971F1" w:rsidP="00E71EE0">
            <w:pPr>
              <w:autoSpaceDE w:val="0"/>
              <w:autoSpaceDN w:val="0"/>
              <w:adjustRightInd w:val="0"/>
              <w:spacing w:after="120"/>
              <w:jc w:val="both"/>
              <w:rPr>
                <w:rFonts w:ascii="Book Antiqua" w:hAnsi="Book Antiqua"/>
                <w:sz w:val="22"/>
                <w:szCs w:val="22"/>
                <w:lang w:val="en-US"/>
              </w:rPr>
            </w:pPr>
            <w:r w:rsidRPr="0098682A">
              <w:rPr>
                <w:rFonts w:ascii="Book Antiqua" w:hAnsi="Book Antiqua"/>
                <w:sz w:val="22"/>
                <w:szCs w:val="22"/>
                <w:lang w:val="en-US"/>
              </w:rPr>
              <w:t>Company</w:t>
            </w:r>
          </w:p>
        </w:tc>
        <w:tc>
          <w:tcPr>
            <w:tcW w:w="1985" w:type="dxa"/>
            <w:tcBorders>
              <w:top w:val="single" w:sz="4" w:space="0" w:color="auto"/>
              <w:bottom w:val="single" w:sz="4" w:space="0" w:color="auto"/>
            </w:tcBorders>
            <w:vAlign w:val="center"/>
          </w:tcPr>
          <w:p w14:paraId="3C5851A8" w14:textId="77777777" w:rsidR="003971F1" w:rsidRPr="0098682A" w:rsidRDefault="003971F1" w:rsidP="00E71EE0">
            <w:pPr>
              <w:autoSpaceDE w:val="0"/>
              <w:autoSpaceDN w:val="0"/>
              <w:adjustRightInd w:val="0"/>
              <w:spacing w:after="120"/>
              <w:jc w:val="center"/>
              <w:rPr>
                <w:rFonts w:ascii="Book Antiqua" w:hAnsi="Book Antiqua"/>
                <w:sz w:val="22"/>
                <w:szCs w:val="22"/>
                <w:lang w:val="en-US"/>
              </w:rPr>
            </w:pPr>
            <w:r w:rsidRPr="0098682A">
              <w:rPr>
                <w:rFonts w:ascii="Book Antiqua" w:hAnsi="Book Antiqua"/>
                <w:sz w:val="22"/>
                <w:szCs w:val="22"/>
                <w:lang w:val="en-US"/>
              </w:rPr>
              <w:t>Ranking and Score*</w:t>
            </w:r>
          </w:p>
        </w:tc>
        <w:tc>
          <w:tcPr>
            <w:tcW w:w="1701" w:type="dxa"/>
            <w:tcBorders>
              <w:top w:val="single" w:sz="4" w:space="0" w:color="auto"/>
              <w:bottom w:val="single" w:sz="4" w:space="0" w:color="auto"/>
            </w:tcBorders>
            <w:vAlign w:val="center"/>
          </w:tcPr>
          <w:p w14:paraId="23416E2E" w14:textId="77777777" w:rsidR="003971F1" w:rsidRPr="0098682A" w:rsidRDefault="003971F1" w:rsidP="00E71EE0">
            <w:pPr>
              <w:autoSpaceDE w:val="0"/>
              <w:autoSpaceDN w:val="0"/>
              <w:adjustRightInd w:val="0"/>
              <w:spacing w:after="120"/>
              <w:jc w:val="center"/>
              <w:rPr>
                <w:rFonts w:ascii="Book Antiqua" w:hAnsi="Book Antiqua"/>
                <w:sz w:val="22"/>
                <w:szCs w:val="22"/>
                <w:lang w:val="en-US"/>
              </w:rPr>
            </w:pPr>
            <w:r w:rsidRPr="0098682A">
              <w:rPr>
                <w:rFonts w:ascii="Book Antiqua" w:hAnsi="Book Antiqua"/>
                <w:sz w:val="22"/>
                <w:szCs w:val="22"/>
                <w:lang w:val="en-US"/>
              </w:rPr>
              <w:t>Industry sector name</w:t>
            </w:r>
          </w:p>
        </w:tc>
        <w:tc>
          <w:tcPr>
            <w:tcW w:w="1275" w:type="dxa"/>
            <w:tcBorders>
              <w:top w:val="single" w:sz="4" w:space="0" w:color="auto"/>
              <w:bottom w:val="single" w:sz="4" w:space="0" w:color="auto"/>
            </w:tcBorders>
            <w:vAlign w:val="center"/>
          </w:tcPr>
          <w:p w14:paraId="202C8D84" w14:textId="77777777" w:rsidR="003971F1" w:rsidRPr="0098682A" w:rsidRDefault="003971F1" w:rsidP="00E71EE0">
            <w:pPr>
              <w:autoSpaceDE w:val="0"/>
              <w:autoSpaceDN w:val="0"/>
              <w:adjustRightInd w:val="0"/>
              <w:spacing w:after="120"/>
              <w:jc w:val="right"/>
              <w:rPr>
                <w:rFonts w:ascii="Book Antiqua" w:hAnsi="Book Antiqua"/>
                <w:sz w:val="22"/>
                <w:szCs w:val="22"/>
                <w:lang w:val="en-US"/>
              </w:rPr>
            </w:pPr>
            <w:r w:rsidRPr="0098682A">
              <w:rPr>
                <w:rFonts w:ascii="Book Antiqua" w:hAnsi="Book Antiqua"/>
                <w:sz w:val="22"/>
                <w:szCs w:val="22"/>
                <w:lang w:val="en-US"/>
              </w:rPr>
              <w:t>Num. of personnel</w:t>
            </w:r>
          </w:p>
        </w:tc>
        <w:tc>
          <w:tcPr>
            <w:tcW w:w="1700" w:type="dxa"/>
            <w:tcBorders>
              <w:top w:val="single" w:sz="4" w:space="0" w:color="auto"/>
              <w:bottom w:val="single" w:sz="4" w:space="0" w:color="auto"/>
            </w:tcBorders>
            <w:vAlign w:val="center"/>
          </w:tcPr>
          <w:p w14:paraId="683DBA45" w14:textId="77777777" w:rsidR="003971F1" w:rsidRPr="0098682A" w:rsidRDefault="003971F1" w:rsidP="00E71EE0">
            <w:pPr>
              <w:autoSpaceDE w:val="0"/>
              <w:autoSpaceDN w:val="0"/>
              <w:adjustRightInd w:val="0"/>
              <w:spacing w:after="120"/>
              <w:jc w:val="right"/>
              <w:rPr>
                <w:rFonts w:ascii="Book Antiqua" w:hAnsi="Book Antiqua"/>
                <w:sz w:val="22"/>
                <w:szCs w:val="22"/>
                <w:lang w:val="en-US"/>
              </w:rPr>
            </w:pPr>
            <w:r w:rsidRPr="0098682A">
              <w:rPr>
                <w:rFonts w:ascii="Book Antiqua" w:hAnsi="Book Antiqua"/>
                <w:sz w:val="22"/>
                <w:szCs w:val="22"/>
                <w:lang w:val="en-US"/>
              </w:rPr>
              <w:t>Total Asset (EUR million)</w:t>
            </w:r>
          </w:p>
        </w:tc>
        <w:tc>
          <w:tcPr>
            <w:tcW w:w="2409" w:type="dxa"/>
            <w:tcBorders>
              <w:top w:val="single" w:sz="4" w:space="0" w:color="auto"/>
              <w:bottom w:val="single" w:sz="4" w:space="0" w:color="auto"/>
            </w:tcBorders>
            <w:vAlign w:val="center"/>
          </w:tcPr>
          <w:p w14:paraId="231FE78C" w14:textId="77777777" w:rsidR="003971F1" w:rsidRPr="0098682A" w:rsidRDefault="003971F1" w:rsidP="00E71EE0">
            <w:pPr>
              <w:autoSpaceDE w:val="0"/>
              <w:autoSpaceDN w:val="0"/>
              <w:adjustRightInd w:val="0"/>
              <w:spacing w:after="120"/>
              <w:jc w:val="center"/>
              <w:rPr>
                <w:rFonts w:ascii="Book Antiqua" w:hAnsi="Book Antiqua"/>
                <w:sz w:val="22"/>
                <w:szCs w:val="22"/>
                <w:lang w:val="en-US"/>
              </w:rPr>
            </w:pPr>
            <w:r w:rsidRPr="0098682A">
              <w:rPr>
                <w:rFonts w:ascii="Book Antiqua" w:hAnsi="Book Antiqua"/>
                <w:sz w:val="22"/>
                <w:szCs w:val="22"/>
                <w:lang w:val="en-US"/>
              </w:rPr>
              <w:t>Sustainability Report</w:t>
            </w:r>
          </w:p>
        </w:tc>
        <w:tc>
          <w:tcPr>
            <w:tcW w:w="2554" w:type="dxa"/>
            <w:tcBorders>
              <w:top w:val="single" w:sz="4" w:space="0" w:color="auto"/>
              <w:bottom w:val="single" w:sz="4" w:space="0" w:color="auto"/>
            </w:tcBorders>
            <w:vAlign w:val="center"/>
          </w:tcPr>
          <w:p w14:paraId="1A02B0B7" w14:textId="77777777" w:rsidR="003971F1" w:rsidRPr="0098682A" w:rsidRDefault="003971F1" w:rsidP="00E71EE0">
            <w:pPr>
              <w:autoSpaceDE w:val="0"/>
              <w:autoSpaceDN w:val="0"/>
              <w:adjustRightInd w:val="0"/>
              <w:spacing w:after="120"/>
              <w:jc w:val="center"/>
              <w:rPr>
                <w:rFonts w:ascii="Book Antiqua" w:hAnsi="Book Antiqua"/>
                <w:sz w:val="22"/>
                <w:szCs w:val="22"/>
                <w:lang w:val="en-US"/>
              </w:rPr>
            </w:pPr>
            <w:r w:rsidRPr="0098682A">
              <w:rPr>
                <w:rFonts w:ascii="Book Antiqua" w:hAnsi="Book Antiqua"/>
                <w:sz w:val="22"/>
                <w:szCs w:val="22"/>
                <w:lang w:val="en-US"/>
              </w:rPr>
              <w:t>Reporting Standards</w:t>
            </w:r>
          </w:p>
        </w:tc>
      </w:tr>
      <w:tr w:rsidR="003971F1" w:rsidRPr="00846BF6" w14:paraId="3D30917B" w14:textId="77777777" w:rsidTr="003971F1">
        <w:trPr>
          <w:jc w:val="center"/>
        </w:trPr>
        <w:tc>
          <w:tcPr>
            <w:tcW w:w="1560" w:type="dxa"/>
            <w:vAlign w:val="center"/>
          </w:tcPr>
          <w:p w14:paraId="7F4A06FC" w14:textId="77777777" w:rsidR="003971F1" w:rsidRPr="0098682A" w:rsidRDefault="003971F1" w:rsidP="00E71EE0">
            <w:pPr>
              <w:autoSpaceDE w:val="0"/>
              <w:autoSpaceDN w:val="0"/>
              <w:adjustRightInd w:val="0"/>
              <w:spacing w:after="120"/>
              <w:jc w:val="both"/>
              <w:rPr>
                <w:rFonts w:ascii="Book Antiqua" w:hAnsi="Book Antiqua"/>
                <w:sz w:val="22"/>
                <w:szCs w:val="22"/>
                <w:lang w:val="en-US"/>
              </w:rPr>
            </w:pPr>
            <w:r w:rsidRPr="0098682A">
              <w:rPr>
                <w:rFonts w:ascii="Book Antiqua" w:hAnsi="Book Antiqua"/>
                <w:sz w:val="22"/>
                <w:szCs w:val="22"/>
                <w:lang w:val="en-US"/>
              </w:rPr>
              <w:t>ERG</w:t>
            </w:r>
          </w:p>
        </w:tc>
        <w:tc>
          <w:tcPr>
            <w:tcW w:w="1985" w:type="dxa"/>
            <w:vAlign w:val="center"/>
          </w:tcPr>
          <w:p w14:paraId="55FAFE7C" w14:textId="77777777" w:rsidR="003971F1" w:rsidRPr="0098682A" w:rsidRDefault="003971F1" w:rsidP="00E71EE0">
            <w:pPr>
              <w:autoSpaceDE w:val="0"/>
              <w:autoSpaceDN w:val="0"/>
              <w:adjustRightInd w:val="0"/>
              <w:spacing w:after="120"/>
              <w:jc w:val="center"/>
              <w:rPr>
                <w:rFonts w:ascii="Book Antiqua" w:hAnsi="Book Antiqua"/>
                <w:sz w:val="22"/>
                <w:szCs w:val="22"/>
                <w:lang w:val="en-US"/>
              </w:rPr>
            </w:pPr>
            <w:r w:rsidRPr="0098682A">
              <w:rPr>
                <w:rFonts w:ascii="Book Antiqua" w:hAnsi="Book Antiqua"/>
                <w:sz w:val="22"/>
                <w:szCs w:val="22"/>
                <w:lang w:val="en-US"/>
              </w:rPr>
              <w:t>16</w:t>
            </w:r>
            <w:r w:rsidRPr="0098682A">
              <w:rPr>
                <w:rFonts w:ascii="Book Antiqua" w:hAnsi="Book Antiqua"/>
                <w:sz w:val="22"/>
                <w:szCs w:val="22"/>
                <w:vertAlign w:val="superscript"/>
                <w:lang w:val="en-US"/>
              </w:rPr>
              <w:t>th</w:t>
            </w:r>
          </w:p>
          <w:p w14:paraId="1901CE84" w14:textId="77777777" w:rsidR="003971F1" w:rsidRPr="0098682A" w:rsidRDefault="003971F1" w:rsidP="00E71EE0">
            <w:pPr>
              <w:autoSpaceDE w:val="0"/>
              <w:autoSpaceDN w:val="0"/>
              <w:adjustRightInd w:val="0"/>
              <w:spacing w:after="120"/>
              <w:jc w:val="center"/>
              <w:rPr>
                <w:rFonts w:ascii="Book Antiqua" w:hAnsi="Book Antiqua"/>
                <w:sz w:val="22"/>
                <w:szCs w:val="22"/>
                <w:lang w:val="en-US"/>
              </w:rPr>
            </w:pPr>
            <w:r w:rsidRPr="0098682A">
              <w:rPr>
                <w:rFonts w:ascii="Book Antiqua" w:hAnsi="Book Antiqua"/>
                <w:sz w:val="22"/>
                <w:szCs w:val="22"/>
                <w:lang w:val="en-US"/>
              </w:rPr>
              <w:t>75.39%</w:t>
            </w:r>
          </w:p>
        </w:tc>
        <w:tc>
          <w:tcPr>
            <w:tcW w:w="1701" w:type="dxa"/>
            <w:vAlign w:val="center"/>
          </w:tcPr>
          <w:p w14:paraId="755C4DE8" w14:textId="77777777" w:rsidR="003971F1" w:rsidRPr="0098682A" w:rsidRDefault="003971F1" w:rsidP="00E71EE0">
            <w:pPr>
              <w:autoSpaceDE w:val="0"/>
              <w:autoSpaceDN w:val="0"/>
              <w:adjustRightInd w:val="0"/>
              <w:spacing w:after="120"/>
              <w:jc w:val="center"/>
              <w:rPr>
                <w:rFonts w:ascii="Book Antiqua" w:hAnsi="Book Antiqua"/>
                <w:sz w:val="22"/>
                <w:szCs w:val="22"/>
                <w:lang w:val="en-US"/>
              </w:rPr>
            </w:pPr>
            <w:r w:rsidRPr="0098682A">
              <w:rPr>
                <w:rFonts w:ascii="Book Antiqua" w:hAnsi="Book Antiqua"/>
                <w:sz w:val="22"/>
                <w:szCs w:val="22"/>
                <w:lang w:val="en-US"/>
              </w:rPr>
              <w:t>Wholesale Power</w:t>
            </w:r>
          </w:p>
        </w:tc>
        <w:tc>
          <w:tcPr>
            <w:tcW w:w="1275" w:type="dxa"/>
            <w:vAlign w:val="center"/>
          </w:tcPr>
          <w:p w14:paraId="7125A0B5" w14:textId="77777777" w:rsidR="003971F1" w:rsidRPr="0098682A" w:rsidRDefault="003971F1" w:rsidP="004B1497">
            <w:pPr>
              <w:autoSpaceDE w:val="0"/>
              <w:autoSpaceDN w:val="0"/>
              <w:adjustRightInd w:val="0"/>
              <w:spacing w:after="120"/>
              <w:ind w:right="179"/>
              <w:jc w:val="right"/>
              <w:rPr>
                <w:rFonts w:ascii="Book Antiqua" w:hAnsi="Book Antiqua"/>
                <w:sz w:val="22"/>
                <w:szCs w:val="22"/>
                <w:lang w:val="en-US"/>
              </w:rPr>
            </w:pPr>
            <w:r w:rsidRPr="0098682A">
              <w:rPr>
                <w:rFonts w:ascii="Book Antiqua" w:hAnsi="Book Antiqua"/>
                <w:sz w:val="22"/>
                <w:szCs w:val="22"/>
                <w:lang w:val="en-US"/>
              </w:rPr>
              <w:t>737</w:t>
            </w:r>
          </w:p>
        </w:tc>
        <w:tc>
          <w:tcPr>
            <w:tcW w:w="1700" w:type="dxa"/>
            <w:vAlign w:val="center"/>
          </w:tcPr>
          <w:p w14:paraId="4B934174" w14:textId="77777777" w:rsidR="003971F1" w:rsidRPr="0098682A" w:rsidRDefault="003971F1" w:rsidP="004B1497">
            <w:pPr>
              <w:autoSpaceDE w:val="0"/>
              <w:autoSpaceDN w:val="0"/>
              <w:adjustRightInd w:val="0"/>
              <w:spacing w:after="120"/>
              <w:ind w:right="315"/>
              <w:jc w:val="right"/>
              <w:rPr>
                <w:rFonts w:ascii="Book Antiqua" w:hAnsi="Book Antiqua"/>
                <w:sz w:val="22"/>
                <w:szCs w:val="22"/>
                <w:lang w:val="en-US"/>
              </w:rPr>
            </w:pPr>
            <w:r w:rsidRPr="0098682A">
              <w:rPr>
                <w:rFonts w:ascii="Book Antiqua" w:hAnsi="Book Antiqua"/>
                <w:sz w:val="22"/>
                <w:szCs w:val="22"/>
                <w:lang w:val="en-US"/>
              </w:rPr>
              <w:t>8,224</w:t>
            </w:r>
          </w:p>
        </w:tc>
        <w:tc>
          <w:tcPr>
            <w:tcW w:w="2409" w:type="dxa"/>
            <w:vAlign w:val="center"/>
          </w:tcPr>
          <w:p w14:paraId="6B42E929" w14:textId="77777777" w:rsidR="003971F1" w:rsidRPr="0098682A" w:rsidRDefault="003971F1" w:rsidP="00E71EE0">
            <w:pPr>
              <w:autoSpaceDE w:val="0"/>
              <w:autoSpaceDN w:val="0"/>
              <w:adjustRightInd w:val="0"/>
              <w:spacing w:after="120"/>
              <w:jc w:val="center"/>
              <w:rPr>
                <w:rFonts w:ascii="Book Antiqua" w:hAnsi="Book Antiqua"/>
                <w:sz w:val="22"/>
                <w:szCs w:val="22"/>
                <w:lang w:val="en-US"/>
              </w:rPr>
            </w:pPr>
            <w:r w:rsidRPr="0098682A">
              <w:rPr>
                <w:rFonts w:ascii="Book Antiqua" w:hAnsi="Book Antiqua"/>
                <w:sz w:val="22"/>
                <w:szCs w:val="22"/>
                <w:lang w:val="en-US"/>
              </w:rPr>
              <w:t>Sustainability issues integrated within the Annual Report</w:t>
            </w:r>
          </w:p>
        </w:tc>
        <w:tc>
          <w:tcPr>
            <w:tcW w:w="2554" w:type="dxa"/>
            <w:vAlign w:val="center"/>
          </w:tcPr>
          <w:p w14:paraId="00F7CAED" w14:textId="77777777" w:rsidR="003971F1" w:rsidRPr="0098682A" w:rsidRDefault="003971F1" w:rsidP="00E71EE0">
            <w:pPr>
              <w:autoSpaceDE w:val="0"/>
              <w:autoSpaceDN w:val="0"/>
              <w:adjustRightInd w:val="0"/>
              <w:spacing w:after="120"/>
              <w:jc w:val="center"/>
              <w:rPr>
                <w:rFonts w:ascii="Book Antiqua" w:hAnsi="Book Antiqua"/>
                <w:sz w:val="22"/>
                <w:szCs w:val="22"/>
                <w:lang w:val="en-US"/>
              </w:rPr>
            </w:pPr>
            <w:r w:rsidRPr="0098682A">
              <w:rPr>
                <w:rFonts w:ascii="Book Antiqua" w:hAnsi="Book Antiqua"/>
                <w:sz w:val="22"/>
                <w:szCs w:val="22"/>
                <w:lang w:val="en-US"/>
              </w:rPr>
              <w:t>GRI Reporting Standards (Core option)</w:t>
            </w:r>
          </w:p>
        </w:tc>
      </w:tr>
      <w:tr w:rsidR="003971F1" w:rsidRPr="00846BF6" w14:paraId="66AEABC6" w14:textId="77777777" w:rsidTr="003971F1">
        <w:trPr>
          <w:jc w:val="center"/>
        </w:trPr>
        <w:tc>
          <w:tcPr>
            <w:tcW w:w="1560" w:type="dxa"/>
            <w:tcBorders>
              <w:bottom w:val="single" w:sz="4" w:space="0" w:color="auto"/>
            </w:tcBorders>
            <w:vAlign w:val="center"/>
          </w:tcPr>
          <w:p w14:paraId="0B49FC0C" w14:textId="77777777" w:rsidR="003971F1" w:rsidRPr="0098682A" w:rsidRDefault="003971F1" w:rsidP="00E71EE0">
            <w:pPr>
              <w:autoSpaceDE w:val="0"/>
              <w:autoSpaceDN w:val="0"/>
              <w:adjustRightInd w:val="0"/>
              <w:spacing w:after="120"/>
              <w:jc w:val="both"/>
              <w:rPr>
                <w:rFonts w:ascii="Book Antiqua" w:hAnsi="Book Antiqua"/>
                <w:sz w:val="22"/>
                <w:szCs w:val="22"/>
                <w:lang w:val="en-US"/>
              </w:rPr>
            </w:pPr>
            <w:r w:rsidRPr="0098682A">
              <w:rPr>
                <w:rFonts w:ascii="Book Antiqua" w:hAnsi="Book Antiqua"/>
                <w:sz w:val="22"/>
                <w:szCs w:val="22"/>
                <w:lang w:val="en-US"/>
              </w:rPr>
              <w:t xml:space="preserve">Intesa </w:t>
            </w:r>
            <w:proofErr w:type="spellStart"/>
            <w:r w:rsidRPr="0098682A">
              <w:rPr>
                <w:rFonts w:ascii="Book Antiqua" w:hAnsi="Book Antiqua"/>
                <w:sz w:val="22"/>
                <w:szCs w:val="22"/>
                <w:lang w:val="en-US"/>
              </w:rPr>
              <w:t>SanPaolo</w:t>
            </w:r>
            <w:proofErr w:type="spellEnd"/>
            <w:r w:rsidRPr="0098682A">
              <w:rPr>
                <w:rFonts w:ascii="Book Antiqua" w:hAnsi="Book Antiqua"/>
                <w:sz w:val="22"/>
                <w:szCs w:val="22"/>
                <w:lang w:val="en-US"/>
              </w:rPr>
              <w:t xml:space="preserve"> </w:t>
            </w:r>
          </w:p>
        </w:tc>
        <w:tc>
          <w:tcPr>
            <w:tcW w:w="1985" w:type="dxa"/>
            <w:tcBorders>
              <w:bottom w:val="single" w:sz="4" w:space="0" w:color="auto"/>
            </w:tcBorders>
            <w:vAlign w:val="center"/>
          </w:tcPr>
          <w:p w14:paraId="30570791" w14:textId="77777777" w:rsidR="003971F1" w:rsidRPr="0098682A" w:rsidRDefault="003971F1" w:rsidP="00E71EE0">
            <w:pPr>
              <w:autoSpaceDE w:val="0"/>
              <w:autoSpaceDN w:val="0"/>
              <w:adjustRightInd w:val="0"/>
              <w:spacing w:after="120"/>
              <w:jc w:val="center"/>
              <w:rPr>
                <w:rFonts w:ascii="Book Antiqua" w:hAnsi="Book Antiqua"/>
                <w:sz w:val="22"/>
                <w:szCs w:val="22"/>
                <w:vertAlign w:val="superscript"/>
                <w:lang w:val="en-US"/>
              </w:rPr>
            </w:pPr>
            <w:r w:rsidRPr="0098682A">
              <w:rPr>
                <w:rFonts w:ascii="Book Antiqua" w:hAnsi="Book Antiqua"/>
                <w:sz w:val="22"/>
                <w:szCs w:val="22"/>
                <w:lang w:val="en-US"/>
              </w:rPr>
              <w:t>80</w:t>
            </w:r>
            <w:r w:rsidRPr="0098682A">
              <w:rPr>
                <w:rFonts w:ascii="Book Antiqua" w:hAnsi="Book Antiqua"/>
                <w:sz w:val="22"/>
                <w:szCs w:val="22"/>
                <w:vertAlign w:val="superscript"/>
                <w:lang w:val="en-US"/>
              </w:rPr>
              <w:t>th</w:t>
            </w:r>
          </w:p>
          <w:p w14:paraId="15CA09CA" w14:textId="77777777" w:rsidR="003971F1" w:rsidRPr="0098682A" w:rsidRDefault="003971F1" w:rsidP="00E71EE0">
            <w:pPr>
              <w:autoSpaceDE w:val="0"/>
              <w:autoSpaceDN w:val="0"/>
              <w:adjustRightInd w:val="0"/>
              <w:spacing w:after="120"/>
              <w:jc w:val="center"/>
              <w:rPr>
                <w:rFonts w:ascii="Book Antiqua" w:hAnsi="Book Antiqua"/>
                <w:sz w:val="22"/>
                <w:szCs w:val="22"/>
                <w:lang w:val="en-US"/>
              </w:rPr>
            </w:pPr>
            <w:r w:rsidRPr="0098682A">
              <w:rPr>
                <w:rFonts w:ascii="Book Antiqua" w:hAnsi="Book Antiqua"/>
                <w:sz w:val="22"/>
                <w:szCs w:val="22"/>
                <w:lang w:val="en-US"/>
              </w:rPr>
              <w:t>57.93%</w:t>
            </w:r>
          </w:p>
        </w:tc>
        <w:tc>
          <w:tcPr>
            <w:tcW w:w="1701" w:type="dxa"/>
            <w:tcBorders>
              <w:bottom w:val="single" w:sz="4" w:space="0" w:color="auto"/>
            </w:tcBorders>
            <w:vAlign w:val="center"/>
          </w:tcPr>
          <w:p w14:paraId="02E64222" w14:textId="77777777" w:rsidR="003971F1" w:rsidRPr="0098682A" w:rsidRDefault="003971F1" w:rsidP="00E71EE0">
            <w:pPr>
              <w:autoSpaceDE w:val="0"/>
              <w:autoSpaceDN w:val="0"/>
              <w:adjustRightInd w:val="0"/>
              <w:spacing w:after="120"/>
              <w:jc w:val="center"/>
              <w:rPr>
                <w:sz w:val="22"/>
                <w:szCs w:val="22"/>
              </w:rPr>
            </w:pPr>
            <w:r w:rsidRPr="0098682A">
              <w:rPr>
                <w:rFonts w:ascii="Book Antiqua" w:hAnsi="Book Antiqua"/>
                <w:sz w:val="22"/>
                <w:szCs w:val="22"/>
                <w:lang w:val="en-US"/>
              </w:rPr>
              <w:t>Banks</w:t>
            </w:r>
          </w:p>
        </w:tc>
        <w:tc>
          <w:tcPr>
            <w:tcW w:w="1275" w:type="dxa"/>
            <w:tcBorders>
              <w:bottom w:val="single" w:sz="4" w:space="0" w:color="auto"/>
            </w:tcBorders>
            <w:vAlign w:val="center"/>
          </w:tcPr>
          <w:p w14:paraId="5683CB39" w14:textId="77777777" w:rsidR="003971F1" w:rsidRPr="0098682A" w:rsidRDefault="003971F1" w:rsidP="004B1497">
            <w:pPr>
              <w:autoSpaceDE w:val="0"/>
              <w:autoSpaceDN w:val="0"/>
              <w:adjustRightInd w:val="0"/>
              <w:spacing w:after="120"/>
              <w:ind w:right="179"/>
              <w:jc w:val="right"/>
              <w:rPr>
                <w:rFonts w:ascii="Book Antiqua" w:hAnsi="Book Antiqua"/>
                <w:sz w:val="22"/>
                <w:szCs w:val="22"/>
                <w:lang w:val="en-US"/>
              </w:rPr>
            </w:pPr>
            <w:r w:rsidRPr="0098682A">
              <w:rPr>
                <w:rFonts w:ascii="Book Antiqua" w:hAnsi="Book Antiqua"/>
                <w:sz w:val="22"/>
                <w:szCs w:val="22"/>
                <w:lang w:val="en-US"/>
              </w:rPr>
              <w:t>92.117</w:t>
            </w:r>
          </w:p>
        </w:tc>
        <w:tc>
          <w:tcPr>
            <w:tcW w:w="1700" w:type="dxa"/>
            <w:tcBorders>
              <w:bottom w:val="single" w:sz="4" w:space="0" w:color="auto"/>
            </w:tcBorders>
            <w:vAlign w:val="center"/>
          </w:tcPr>
          <w:p w14:paraId="19181E62" w14:textId="77777777" w:rsidR="003971F1" w:rsidRPr="0098682A" w:rsidRDefault="003971F1" w:rsidP="004B1497">
            <w:pPr>
              <w:autoSpaceDE w:val="0"/>
              <w:autoSpaceDN w:val="0"/>
              <w:adjustRightInd w:val="0"/>
              <w:spacing w:after="120"/>
              <w:ind w:right="315"/>
              <w:jc w:val="right"/>
              <w:rPr>
                <w:rFonts w:ascii="Book Antiqua" w:hAnsi="Book Antiqua"/>
                <w:sz w:val="22"/>
                <w:szCs w:val="22"/>
                <w:lang w:val="en-US"/>
              </w:rPr>
            </w:pPr>
            <w:r w:rsidRPr="0098682A">
              <w:rPr>
                <w:rFonts w:ascii="Book Antiqua" w:hAnsi="Book Antiqua"/>
                <w:sz w:val="22"/>
                <w:szCs w:val="22"/>
                <w:lang w:val="en-US"/>
              </w:rPr>
              <w:t>796,861</w:t>
            </w:r>
          </w:p>
        </w:tc>
        <w:tc>
          <w:tcPr>
            <w:tcW w:w="2409" w:type="dxa"/>
            <w:tcBorders>
              <w:bottom w:val="single" w:sz="4" w:space="0" w:color="auto"/>
            </w:tcBorders>
            <w:vAlign w:val="center"/>
          </w:tcPr>
          <w:p w14:paraId="4D524375" w14:textId="77777777" w:rsidR="003971F1" w:rsidRPr="0098682A" w:rsidRDefault="003971F1" w:rsidP="00E71EE0">
            <w:pPr>
              <w:autoSpaceDE w:val="0"/>
              <w:autoSpaceDN w:val="0"/>
              <w:adjustRightInd w:val="0"/>
              <w:spacing w:after="120"/>
              <w:jc w:val="center"/>
              <w:rPr>
                <w:rFonts w:ascii="Book Antiqua" w:hAnsi="Book Antiqua"/>
                <w:sz w:val="22"/>
                <w:szCs w:val="22"/>
                <w:lang w:val="en-US"/>
              </w:rPr>
            </w:pPr>
            <w:r w:rsidRPr="0098682A">
              <w:rPr>
                <w:rFonts w:ascii="Book Antiqua" w:hAnsi="Book Antiqua"/>
                <w:sz w:val="22"/>
                <w:szCs w:val="22"/>
                <w:lang w:val="en-US"/>
              </w:rPr>
              <w:t xml:space="preserve">Stand-alone report separated from the Annual Report </w:t>
            </w:r>
          </w:p>
        </w:tc>
        <w:tc>
          <w:tcPr>
            <w:tcW w:w="2554" w:type="dxa"/>
            <w:tcBorders>
              <w:bottom w:val="single" w:sz="4" w:space="0" w:color="auto"/>
            </w:tcBorders>
            <w:vAlign w:val="center"/>
          </w:tcPr>
          <w:p w14:paraId="67F2BFA3" w14:textId="77777777" w:rsidR="003971F1" w:rsidRPr="0098682A" w:rsidRDefault="003971F1" w:rsidP="00E71EE0">
            <w:pPr>
              <w:autoSpaceDE w:val="0"/>
              <w:autoSpaceDN w:val="0"/>
              <w:adjustRightInd w:val="0"/>
              <w:spacing w:after="120"/>
              <w:jc w:val="center"/>
              <w:rPr>
                <w:rFonts w:ascii="Book Antiqua" w:hAnsi="Book Antiqua"/>
                <w:sz w:val="22"/>
                <w:szCs w:val="22"/>
                <w:lang w:val="en-US"/>
              </w:rPr>
            </w:pPr>
            <w:r w:rsidRPr="0098682A">
              <w:rPr>
                <w:rFonts w:ascii="Book Antiqua" w:hAnsi="Book Antiqua"/>
                <w:sz w:val="22"/>
                <w:szCs w:val="22"/>
                <w:lang w:val="en-US"/>
              </w:rPr>
              <w:t>GRI Reporting Standards (Core option)</w:t>
            </w:r>
          </w:p>
        </w:tc>
      </w:tr>
    </w:tbl>
    <w:p w14:paraId="5600C9C8" w14:textId="1FB89852" w:rsidR="003971F1" w:rsidRDefault="003971F1" w:rsidP="003971F1">
      <w:pPr>
        <w:autoSpaceDE w:val="0"/>
        <w:autoSpaceDN w:val="0"/>
        <w:adjustRightInd w:val="0"/>
        <w:spacing w:after="120"/>
        <w:ind w:firstLine="720"/>
        <w:jc w:val="both"/>
        <w:rPr>
          <w:rFonts w:ascii="Book Antiqua" w:hAnsi="Book Antiqua"/>
          <w:sz w:val="22"/>
          <w:lang w:val="en-US"/>
        </w:rPr>
      </w:pPr>
      <w:r w:rsidRPr="0098682A">
        <w:rPr>
          <w:rFonts w:ascii="Book Antiqua" w:hAnsi="Book Antiqua"/>
          <w:sz w:val="22"/>
          <w:lang w:val="en-US"/>
        </w:rPr>
        <w:t>* according to the 2019 Global 100 Most Sustainable Corporations in the World index.</w:t>
      </w:r>
    </w:p>
    <w:p w14:paraId="07B8489A" w14:textId="058E15E9" w:rsidR="002106A7" w:rsidRDefault="002106A7" w:rsidP="003971F1">
      <w:pPr>
        <w:autoSpaceDE w:val="0"/>
        <w:autoSpaceDN w:val="0"/>
        <w:adjustRightInd w:val="0"/>
        <w:spacing w:after="120"/>
        <w:ind w:firstLine="720"/>
        <w:jc w:val="both"/>
        <w:rPr>
          <w:rFonts w:ascii="Book Antiqua" w:hAnsi="Book Antiqua"/>
          <w:sz w:val="22"/>
          <w:lang w:val="en-US"/>
        </w:rPr>
      </w:pPr>
    </w:p>
    <w:p w14:paraId="36EB3707" w14:textId="1A53F3E7" w:rsidR="00565F74" w:rsidRDefault="00565F74" w:rsidP="003971F1">
      <w:pPr>
        <w:autoSpaceDE w:val="0"/>
        <w:autoSpaceDN w:val="0"/>
        <w:adjustRightInd w:val="0"/>
        <w:spacing w:after="120"/>
        <w:ind w:firstLine="720"/>
        <w:jc w:val="both"/>
        <w:rPr>
          <w:rFonts w:ascii="Book Antiqua" w:hAnsi="Book Antiqua"/>
          <w:sz w:val="22"/>
          <w:lang w:val="en-US"/>
        </w:rPr>
      </w:pPr>
      <w:r>
        <w:rPr>
          <w:rFonts w:ascii="Book Antiqua" w:hAnsi="Book Antiqua"/>
          <w:sz w:val="22"/>
          <w:lang w:val="en-US"/>
        </w:rPr>
        <w:t>Table 2. Companies’ environmental scores according to 2019 Global 100*</w:t>
      </w:r>
    </w:p>
    <w:tbl>
      <w:tblPr>
        <w:tblpPr w:leftFromText="141" w:rightFromText="141" w:vertAnchor="text" w:horzAnchor="page" w:tblpX="1855" w:tblpY="144"/>
        <w:tblW w:w="821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79"/>
        <w:gridCol w:w="1684"/>
        <w:gridCol w:w="1684"/>
        <w:gridCol w:w="1684"/>
        <w:gridCol w:w="1684"/>
      </w:tblGrid>
      <w:tr w:rsidR="002106A7" w:rsidRPr="002106A7" w14:paraId="0314A7C5" w14:textId="77777777" w:rsidTr="00565F74">
        <w:trPr>
          <w:trHeight w:val="714"/>
        </w:trPr>
        <w:tc>
          <w:tcPr>
            <w:tcW w:w="2875" w:type="dxa"/>
            <w:tcBorders>
              <w:top w:val="single" w:sz="4" w:space="0" w:color="auto"/>
              <w:bottom w:val="single" w:sz="4" w:space="0" w:color="auto"/>
            </w:tcBorders>
            <w:vAlign w:val="center"/>
          </w:tcPr>
          <w:p w14:paraId="25406103" w14:textId="77777777" w:rsidR="002106A7" w:rsidRPr="002106A7" w:rsidRDefault="002106A7" w:rsidP="002106A7">
            <w:pPr>
              <w:autoSpaceDE w:val="0"/>
              <w:autoSpaceDN w:val="0"/>
              <w:adjustRightInd w:val="0"/>
              <w:spacing w:after="120"/>
              <w:jc w:val="both"/>
              <w:rPr>
                <w:rFonts w:ascii="Book Antiqua" w:hAnsi="Book Antiqua"/>
                <w:sz w:val="22"/>
                <w:szCs w:val="22"/>
                <w:lang w:val="en-US"/>
              </w:rPr>
            </w:pPr>
            <w:r w:rsidRPr="002106A7">
              <w:rPr>
                <w:rFonts w:ascii="Book Antiqua" w:hAnsi="Book Antiqua"/>
                <w:sz w:val="22"/>
                <w:szCs w:val="22"/>
                <w:lang w:val="en-US"/>
              </w:rPr>
              <w:t>Company</w:t>
            </w:r>
          </w:p>
        </w:tc>
        <w:tc>
          <w:tcPr>
            <w:tcW w:w="2875" w:type="dxa"/>
            <w:tcBorders>
              <w:top w:val="single" w:sz="4" w:space="0" w:color="auto"/>
              <w:bottom w:val="single" w:sz="4" w:space="0" w:color="auto"/>
            </w:tcBorders>
            <w:shd w:val="clear" w:color="auto" w:fill="auto"/>
            <w:vAlign w:val="center"/>
            <w:hideMark/>
          </w:tcPr>
          <w:p w14:paraId="31D686A2" w14:textId="77777777" w:rsidR="002106A7" w:rsidRPr="002106A7" w:rsidRDefault="002106A7" w:rsidP="002106A7">
            <w:pPr>
              <w:autoSpaceDE w:val="0"/>
              <w:autoSpaceDN w:val="0"/>
              <w:adjustRightInd w:val="0"/>
              <w:spacing w:after="120"/>
              <w:jc w:val="both"/>
              <w:rPr>
                <w:rFonts w:ascii="Book Antiqua" w:hAnsi="Book Antiqua"/>
                <w:sz w:val="22"/>
                <w:szCs w:val="22"/>
                <w:lang w:val="en-US"/>
              </w:rPr>
            </w:pPr>
            <w:r w:rsidRPr="002106A7">
              <w:rPr>
                <w:rFonts w:ascii="Book Antiqua" w:hAnsi="Book Antiqua"/>
                <w:sz w:val="22"/>
                <w:szCs w:val="22"/>
                <w:lang w:val="en-US"/>
              </w:rPr>
              <w:t>Energy Productivity Score</w:t>
            </w:r>
          </w:p>
        </w:tc>
        <w:tc>
          <w:tcPr>
            <w:tcW w:w="2875" w:type="dxa"/>
            <w:tcBorders>
              <w:top w:val="single" w:sz="4" w:space="0" w:color="auto"/>
              <w:bottom w:val="single" w:sz="4" w:space="0" w:color="auto"/>
            </w:tcBorders>
            <w:shd w:val="clear" w:color="auto" w:fill="auto"/>
            <w:vAlign w:val="center"/>
            <w:hideMark/>
          </w:tcPr>
          <w:p w14:paraId="0DF7C6D4" w14:textId="77777777" w:rsidR="002106A7" w:rsidRPr="002106A7" w:rsidRDefault="002106A7" w:rsidP="002106A7">
            <w:pPr>
              <w:autoSpaceDE w:val="0"/>
              <w:autoSpaceDN w:val="0"/>
              <w:adjustRightInd w:val="0"/>
              <w:spacing w:after="120"/>
              <w:jc w:val="both"/>
              <w:rPr>
                <w:rFonts w:ascii="Book Antiqua" w:hAnsi="Book Antiqua"/>
                <w:sz w:val="22"/>
                <w:szCs w:val="22"/>
                <w:lang w:val="en-US"/>
              </w:rPr>
            </w:pPr>
            <w:r w:rsidRPr="002106A7">
              <w:rPr>
                <w:rFonts w:ascii="Book Antiqua" w:hAnsi="Book Antiqua"/>
                <w:sz w:val="22"/>
                <w:szCs w:val="22"/>
                <w:lang w:val="en-US"/>
              </w:rPr>
              <w:t>Carbon Productivity Score</w:t>
            </w:r>
          </w:p>
        </w:tc>
        <w:tc>
          <w:tcPr>
            <w:tcW w:w="2875" w:type="dxa"/>
            <w:tcBorders>
              <w:top w:val="single" w:sz="4" w:space="0" w:color="auto"/>
              <w:bottom w:val="single" w:sz="4" w:space="0" w:color="auto"/>
            </w:tcBorders>
            <w:shd w:val="clear" w:color="auto" w:fill="auto"/>
            <w:vAlign w:val="center"/>
            <w:hideMark/>
          </w:tcPr>
          <w:p w14:paraId="75935B8D" w14:textId="77777777" w:rsidR="002106A7" w:rsidRPr="002106A7" w:rsidRDefault="002106A7" w:rsidP="002106A7">
            <w:pPr>
              <w:autoSpaceDE w:val="0"/>
              <w:autoSpaceDN w:val="0"/>
              <w:adjustRightInd w:val="0"/>
              <w:spacing w:after="120"/>
              <w:jc w:val="both"/>
              <w:rPr>
                <w:rFonts w:ascii="Book Antiqua" w:hAnsi="Book Antiqua"/>
                <w:sz w:val="22"/>
                <w:szCs w:val="22"/>
                <w:lang w:val="en-US"/>
              </w:rPr>
            </w:pPr>
            <w:r w:rsidRPr="002106A7">
              <w:rPr>
                <w:rFonts w:ascii="Book Antiqua" w:hAnsi="Book Antiqua"/>
                <w:sz w:val="22"/>
                <w:szCs w:val="22"/>
                <w:lang w:val="en-US"/>
              </w:rPr>
              <w:t>Water Productivity Score</w:t>
            </w:r>
          </w:p>
        </w:tc>
        <w:tc>
          <w:tcPr>
            <w:tcW w:w="2875" w:type="dxa"/>
            <w:tcBorders>
              <w:top w:val="single" w:sz="4" w:space="0" w:color="auto"/>
              <w:bottom w:val="single" w:sz="4" w:space="0" w:color="auto"/>
            </w:tcBorders>
            <w:shd w:val="clear" w:color="auto" w:fill="auto"/>
            <w:vAlign w:val="center"/>
            <w:hideMark/>
          </w:tcPr>
          <w:p w14:paraId="312C1454" w14:textId="77777777" w:rsidR="002106A7" w:rsidRPr="002106A7" w:rsidRDefault="002106A7" w:rsidP="002106A7">
            <w:pPr>
              <w:autoSpaceDE w:val="0"/>
              <w:autoSpaceDN w:val="0"/>
              <w:adjustRightInd w:val="0"/>
              <w:spacing w:after="120"/>
              <w:jc w:val="both"/>
              <w:rPr>
                <w:rFonts w:ascii="Book Antiqua" w:hAnsi="Book Antiqua"/>
                <w:sz w:val="22"/>
                <w:szCs w:val="22"/>
                <w:lang w:val="en-US"/>
              </w:rPr>
            </w:pPr>
            <w:r w:rsidRPr="002106A7">
              <w:rPr>
                <w:rFonts w:ascii="Book Antiqua" w:hAnsi="Book Antiqua"/>
                <w:sz w:val="22"/>
                <w:szCs w:val="22"/>
                <w:lang w:val="en-US"/>
              </w:rPr>
              <w:t>Waste Productivity Score</w:t>
            </w:r>
          </w:p>
        </w:tc>
      </w:tr>
      <w:tr w:rsidR="002106A7" w:rsidRPr="002106A7" w14:paraId="350221BB" w14:textId="77777777" w:rsidTr="00565F74">
        <w:trPr>
          <w:trHeight w:val="784"/>
        </w:trPr>
        <w:tc>
          <w:tcPr>
            <w:tcW w:w="2875" w:type="dxa"/>
            <w:tcBorders>
              <w:top w:val="single" w:sz="4" w:space="0" w:color="auto"/>
            </w:tcBorders>
            <w:vAlign w:val="center"/>
          </w:tcPr>
          <w:p w14:paraId="4A74EE75" w14:textId="57DA6358" w:rsidR="002106A7" w:rsidRPr="002106A7" w:rsidRDefault="002106A7" w:rsidP="002106A7">
            <w:pPr>
              <w:autoSpaceDE w:val="0"/>
              <w:autoSpaceDN w:val="0"/>
              <w:adjustRightInd w:val="0"/>
              <w:spacing w:after="120"/>
              <w:jc w:val="both"/>
              <w:rPr>
                <w:rFonts w:ascii="Book Antiqua" w:hAnsi="Book Antiqua"/>
                <w:sz w:val="22"/>
                <w:szCs w:val="22"/>
                <w:lang w:val="en-US"/>
              </w:rPr>
            </w:pPr>
            <w:r>
              <w:rPr>
                <w:rFonts w:ascii="Book Antiqua" w:hAnsi="Book Antiqua"/>
                <w:sz w:val="22"/>
                <w:szCs w:val="22"/>
                <w:lang w:val="en-US"/>
              </w:rPr>
              <w:t>ERG</w:t>
            </w:r>
          </w:p>
        </w:tc>
        <w:tc>
          <w:tcPr>
            <w:tcW w:w="2875" w:type="dxa"/>
            <w:tcBorders>
              <w:top w:val="single" w:sz="4" w:space="0" w:color="auto"/>
            </w:tcBorders>
            <w:shd w:val="clear" w:color="auto" w:fill="auto"/>
            <w:vAlign w:val="center"/>
          </w:tcPr>
          <w:p w14:paraId="02ECD9B3" w14:textId="15D2BEF6" w:rsidR="002106A7" w:rsidRPr="002106A7" w:rsidRDefault="00565F74" w:rsidP="002106A7">
            <w:pPr>
              <w:autoSpaceDE w:val="0"/>
              <w:autoSpaceDN w:val="0"/>
              <w:adjustRightInd w:val="0"/>
              <w:spacing w:after="120"/>
              <w:jc w:val="both"/>
              <w:rPr>
                <w:rFonts w:ascii="Book Antiqua" w:hAnsi="Book Antiqua"/>
                <w:sz w:val="22"/>
                <w:szCs w:val="22"/>
                <w:lang w:val="en-US"/>
              </w:rPr>
            </w:pPr>
            <w:r>
              <w:rPr>
                <w:rFonts w:ascii="Book Antiqua" w:hAnsi="Book Antiqua"/>
                <w:sz w:val="22"/>
                <w:szCs w:val="22"/>
                <w:lang w:val="en-US"/>
              </w:rPr>
              <w:t>97%</w:t>
            </w:r>
          </w:p>
        </w:tc>
        <w:tc>
          <w:tcPr>
            <w:tcW w:w="2875" w:type="dxa"/>
            <w:tcBorders>
              <w:top w:val="single" w:sz="4" w:space="0" w:color="auto"/>
            </w:tcBorders>
            <w:shd w:val="clear" w:color="auto" w:fill="auto"/>
            <w:vAlign w:val="center"/>
          </w:tcPr>
          <w:p w14:paraId="53684E51" w14:textId="72F199CB" w:rsidR="002106A7" w:rsidRPr="002106A7" w:rsidRDefault="00565F74" w:rsidP="002106A7">
            <w:pPr>
              <w:autoSpaceDE w:val="0"/>
              <w:autoSpaceDN w:val="0"/>
              <w:adjustRightInd w:val="0"/>
              <w:spacing w:after="120"/>
              <w:jc w:val="both"/>
              <w:rPr>
                <w:rFonts w:ascii="Book Antiqua" w:hAnsi="Book Antiqua"/>
                <w:sz w:val="22"/>
                <w:szCs w:val="22"/>
                <w:lang w:val="en-US"/>
              </w:rPr>
            </w:pPr>
            <w:r>
              <w:rPr>
                <w:rFonts w:ascii="Book Antiqua" w:hAnsi="Book Antiqua"/>
                <w:sz w:val="22"/>
                <w:szCs w:val="22"/>
                <w:lang w:val="en-US"/>
              </w:rPr>
              <w:t>61%</w:t>
            </w:r>
          </w:p>
        </w:tc>
        <w:tc>
          <w:tcPr>
            <w:tcW w:w="2875" w:type="dxa"/>
            <w:tcBorders>
              <w:top w:val="single" w:sz="4" w:space="0" w:color="auto"/>
            </w:tcBorders>
            <w:shd w:val="clear" w:color="auto" w:fill="auto"/>
            <w:vAlign w:val="center"/>
          </w:tcPr>
          <w:p w14:paraId="63914C4C" w14:textId="70CC0C08" w:rsidR="002106A7" w:rsidRPr="002106A7" w:rsidRDefault="00565F74" w:rsidP="002106A7">
            <w:pPr>
              <w:autoSpaceDE w:val="0"/>
              <w:autoSpaceDN w:val="0"/>
              <w:adjustRightInd w:val="0"/>
              <w:spacing w:after="120"/>
              <w:jc w:val="both"/>
              <w:rPr>
                <w:rFonts w:ascii="Book Antiqua" w:hAnsi="Book Antiqua"/>
                <w:sz w:val="22"/>
                <w:szCs w:val="22"/>
                <w:lang w:val="en-US"/>
              </w:rPr>
            </w:pPr>
            <w:r>
              <w:rPr>
                <w:rFonts w:ascii="Book Antiqua" w:hAnsi="Book Antiqua"/>
                <w:sz w:val="22"/>
                <w:szCs w:val="22"/>
                <w:lang w:val="en-US"/>
              </w:rPr>
              <w:t>29,8%</w:t>
            </w:r>
          </w:p>
        </w:tc>
        <w:tc>
          <w:tcPr>
            <w:tcW w:w="2875" w:type="dxa"/>
            <w:tcBorders>
              <w:top w:val="single" w:sz="4" w:space="0" w:color="auto"/>
            </w:tcBorders>
            <w:shd w:val="clear" w:color="auto" w:fill="auto"/>
            <w:vAlign w:val="center"/>
          </w:tcPr>
          <w:p w14:paraId="5828EC67" w14:textId="555CE5DA" w:rsidR="002106A7" w:rsidRPr="002106A7" w:rsidRDefault="00565F74" w:rsidP="002106A7">
            <w:pPr>
              <w:autoSpaceDE w:val="0"/>
              <w:autoSpaceDN w:val="0"/>
              <w:adjustRightInd w:val="0"/>
              <w:spacing w:after="120"/>
              <w:jc w:val="both"/>
              <w:rPr>
                <w:rFonts w:ascii="Book Antiqua" w:hAnsi="Book Antiqua"/>
                <w:sz w:val="22"/>
                <w:szCs w:val="22"/>
                <w:lang w:val="en-US"/>
              </w:rPr>
            </w:pPr>
            <w:r>
              <w:rPr>
                <w:rFonts w:ascii="Book Antiqua" w:hAnsi="Book Antiqua"/>
                <w:sz w:val="22"/>
                <w:szCs w:val="22"/>
                <w:lang w:val="en-US"/>
              </w:rPr>
              <w:t>63%</w:t>
            </w:r>
          </w:p>
        </w:tc>
      </w:tr>
      <w:tr w:rsidR="002106A7" w:rsidRPr="002106A7" w14:paraId="314BB8AC" w14:textId="77777777" w:rsidTr="00565F74">
        <w:trPr>
          <w:trHeight w:val="910"/>
        </w:trPr>
        <w:tc>
          <w:tcPr>
            <w:tcW w:w="2875" w:type="dxa"/>
            <w:vAlign w:val="center"/>
          </w:tcPr>
          <w:p w14:paraId="31C78596" w14:textId="7A1B5855" w:rsidR="002106A7" w:rsidRPr="002106A7" w:rsidRDefault="002106A7" w:rsidP="002106A7">
            <w:pPr>
              <w:autoSpaceDE w:val="0"/>
              <w:autoSpaceDN w:val="0"/>
              <w:adjustRightInd w:val="0"/>
              <w:spacing w:after="120"/>
              <w:jc w:val="both"/>
              <w:rPr>
                <w:rFonts w:ascii="Book Antiqua" w:hAnsi="Book Antiqua"/>
                <w:sz w:val="22"/>
                <w:szCs w:val="22"/>
                <w:lang w:val="en-US"/>
              </w:rPr>
            </w:pPr>
            <w:r w:rsidRPr="0098682A">
              <w:rPr>
                <w:rFonts w:ascii="Book Antiqua" w:hAnsi="Book Antiqua"/>
                <w:sz w:val="22"/>
                <w:szCs w:val="22"/>
                <w:lang w:val="en-US"/>
              </w:rPr>
              <w:t xml:space="preserve">Intesa </w:t>
            </w:r>
            <w:proofErr w:type="spellStart"/>
            <w:r w:rsidRPr="0098682A">
              <w:rPr>
                <w:rFonts w:ascii="Book Antiqua" w:hAnsi="Book Antiqua"/>
                <w:sz w:val="22"/>
                <w:szCs w:val="22"/>
                <w:lang w:val="en-US"/>
              </w:rPr>
              <w:t>SanPaolo</w:t>
            </w:r>
            <w:proofErr w:type="spellEnd"/>
          </w:p>
        </w:tc>
        <w:tc>
          <w:tcPr>
            <w:tcW w:w="2875" w:type="dxa"/>
            <w:shd w:val="clear" w:color="auto" w:fill="auto"/>
            <w:vAlign w:val="center"/>
          </w:tcPr>
          <w:p w14:paraId="4E5C9E23" w14:textId="6C30BFBD" w:rsidR="002106A7" w:rsidRPr="002106A7" w:rsidRDefault="00565F74" w:rsidP="002106A7">
            <w:pPr>
              <w:autoSpaceDE w:val="0"/>
              <w:autoSpaceDN w:val="0"/>
              <w:adjustRightInd w:val="0"/>
              <w:spacing w:after="120"/>
              <w:jc w:val="both"/>
              <w:rPr>
                <w:rFonts w:ascii="Book Antiqua" w:hAnsi="Book Antiqua"/>
                <w:sz w:val="22"/>
                <w:szCs w:val="22"/>
                <w:lang w:val="en-US"/>
              </w:rPr>
            </w:pPr>
            <w:r>
              <w:rPr>
                <w:rFonts w:ascii="Book Antiqua" w:hAnsi="Book Antiqua"/>
                <w:sz w:val="22"/>
                <w:szCs w:val="22"/>
                <w:lang w:val="en-US"/>
              </w:rPr>
              <w:t>45,5%</w:t>
            </w:r>
          </w:p>
        </w:tc>
        <w:tc>
          <w:tcPr>
            <w:tcW w:w="2875" w:type="dxa"/>
            <w:shd w:val="clear" w:color="auto" w:fill="auto"/>
            <w:vAlign w:val="center"/>
          </w:tcPr>
          <w:p w14:paraId="522B8BF7" w14:textId="31D50DE2" w:rsidR="002106A7" w:rsidRPr="002106A7" w:rsidRDefault="00565F74" w:rsidP="002106A7">
            <w:pPr>
              <w:autoSpaceDE w:val="0"/>
              <w:autoSpaceDN w:val="0"/>
              <w:adjustRightInd w:val="0"/>
              <w:spacing w:after="120"/>
              <w:jc w:val="both"/>
              <w:rPr>
                <w:rFonts w:ascii="Book Antiqua" w:hAnsi="Book Antiqua"/>
                <w:sz w:val="22"/>
                <w:szCs w:val="22"/>
                <w:lang w:val="en-US"/>
              </w:rPr>
            </w:pPr>
            <w:r>
              <w:rPr>
                <w:rFonts w:ascii="Book Antiqua" w:hAnsi="Book Antiqua"/>
                <w:sz w:val="22"/>
                <w:szCs w:val="22"/>
                <w:lang w:val="en-US"/>
              </w:rPr>
              <w:t>29%</w:t>
            </w:r>
          </w:p>
        </w:tc>
        <w:tc>
          <w:tcPr>
            <w:tcW w:w="2875" w:type="dxa"/>
            <w:shd w:val="clear" w:color="auto" w:fill="auto"/>
            <w:vAlign w:val="center"/>
          </w:tcPr>
          <w:p w14:paraId="6BA5681B" w14:textId="574183C7" w:rsidR="002106A7" w:rsidRPr="002106A7" w:rsidRDefault="00565F74" w:rsidP="002106A7">
            <w:pPr>
              <w:autoSpaceDE w:val="0"/>
              <w:autoSpaceDN w:val="0"/>
              <w:adjustRightInd w:val="0"/>
              <w:spacing w:after="120"/>
              <w:jc w:val="both"/>
              <w:rPr>
                <w:rFonts w:ascii="Book Antiqua" w:hAnsi="Book Antiqua"/>
                <w:sz w:val="22"/>
                <w:szCs w:val="22"/>
                <w:lang w:val="en-US"/>
              </w:rPr>
            </w:pPr>
            <w:r>
              <w:rPr>
                <w:rFonts w:ascii="Book Antiqua" w:hAnsi="Book Antiqua"/>
                <w:sz w:val="22"/>
                <w:szCs w:val="22"/>
                <w:lang w:val="en-US"/>
              </w:rPr>
              <w:t>11%</w:t>
            </w:r>
          </w:p>
        </w:tc>
        <w:tc>
          <w:tcPr>
            <w:tcW w:w="2875" w:type="dxa"/>
            <w:shd w:val="clear" w:color="auto" w:fill="auto"/>
            <w:vAlign w:val="center"/>
          </w:tcPr>
          <w:p w14:paraId="4397CACB" w14:textId="6FA41A33" w:rsidR="002106A7" w:rsidRPr="002106A7" w:rsidRDefault="00565F74" w:rsidP="002106A7">
            <w:pPr>
              <w:autoSpaceDE w:val="0"/>
              <w:autoSpaceDN w:val="0"/>
              <w:adjustRightInd w:val="0"/>
              <w:spacing w:after="120"/>
              <w:jc w:val="both"/>
              <w:rPr>
                <w:rFonts w:ascii="Book Antiqua" w:hAnsi="Book Antiqua"/>
                <w:sz w:val="22"/>
                <w:szCs w:val="22"/>
                <w:lang w:val="en-US"/>
              </w:rPr>
            </w:pPr>
            <w:r>
              <w:rPr>
                <w:rFonts w:ascii="Book Antiqua" w:hAnsi="Book Antiqua"/>
                <w:sz w:val="22"/>
                <w:szCs w:val="22"/>
                <w:lang w:val="en-US"/>
              </w:rPr>
              <w:t>51%</w:t>
            </w:r>
          </w:p>
        </w:tc>
      </w:tr>
    </w:tbl>
    <w:p w14:paraId="197C4B0F" w14:textId="50583A3E" w:rsidR="002106A7" w:rsidRPr="002106A7" w:rsidRDefault="002106A7" w:rsidP="002106A7">
      <w:pPr>
        <w:autoSpaceDE w:val="0"/>
        <w:autoSpaceDN w:val="0"/>
        <w:adjustRightInd w:val="0"/>
        <w:spacing w:after="120"/>
        <w:jc w:val="both"/>
        <w:rPr>
          <w:rFonts w:ascii="Book Antiqua" w:hAnsi="Book Antiqua"/>
          <w:sz w:val="22"/>
          <w:szCs w:val="22"/>
          <w:lang w:val="en-US"/>
        </w:rPr>
      </w:pPr>
    </w:p>
    <w:p w14:paraId="63BF346A" w14:textId="394AA2D2" w:rsidR="002106A7" w:rsidRDefault="002106A7" w:rsidP="003971F1">
      <w:pPr>
        <w:autoSpaceDE w:val="0"/>
        <w:autoSpaceDN w:val="0"/>
        <w:adjustRightInd w:val="0"/>
        <w:spacing w:after="120"/>
        <w:ind w:firstLine="720"/>
        <w:jc w:val="both"/>
        <w:rPr>
          <w:rFonts w:ascii="Book Antiqua" w:hAnsi="Book Antiqua"/>
          <w:sz w:val="22"/>
          <w:lang w:val="en-US"/>
        </w:rPr>
      </w:pPr>
    </w:p>
    <w:p w14:paraId="7F5523BC" w14:textId="0048CE26" w:rsidR="002106A7" w:rsidRDefault="002106A7" w:rsidP="003971F1">
      <w:pPr>
        <w:autoSpaceDE w:val="0"/>
        <w:autoSpaceDN w:val="0"/>
        <w:adjustRightInd w:val="0"/>
        <w:spacing w:after="120"/>
        <w:ind w:firstLine="720"/>
        <w:jc w:val="both"/>
        <w:rPr>
          <w:rFonts w:ascii="Book Antiqua" w:hAnsi="Book Antiqua"/>
          <w:sz w:val="22"/>
          <w:lang w:val="en-US"/>
        </w:rPr>
      </w:pPr>
    </w:p>
    <w:p w14:paraId="04193C2F" w14:textId="57268947" w:rsidR="002106A7" w:rsidRDefault="002106A7" w:rsidP="003971F1">
      <w:pPr>
        <w:autoSpaceDE w:val="0"/>
        <w:autoSpaceDN w:val="0"/>
        <w:adjustRightInd w:val="0"/>
        <w:spacing w:after="120"/>
        <w:ind w:firstLine="720"/>
        <w:jc w:val="both"/>
        <w:rPr>
          <w:rFonts w:ascii="Book Antiqua" w:hAnsi="Book Antiqua"/>
          <w:sz w:val="22"/>
          <w:lang w:val="en-US"/>
        </w:rPr>
      </w:pPr>
    </w:p>
    <w:p w14:paraId="7C6D4576" w14:textId="002E1FC4" w:rsidR="002106A7" w:rsidRDefault="002106A7" w:rsidP="003971F1">
      <w:pPr>
        <w:autoSpaceDE w:val="0"/>
        <w:autoSpaceDN w:val="0"/>
        <w:adjustRightInd w:val="0"/>
        <w:spacing w:after="120"/>
        <w:ind w:firstLine="720"/>
        <w:jc w:val="both"/>
        <w:rPr>
          <w:rFonts w:ascii="Book Antiqua" w:hAnsi="Book Antiqua"/>
          <w:sz w:val="22"/>
          <w:lang w:val="en-US"/>
        </w:rPr>
      </w:pPr>
    </w:p>
    <w:p w14:paraId="04854A4B" w14:textId="087FD98C" w:rsidR="002106A7" w:rsidRDefault="002106A7" w:rsidP="003971F1">
      <w:pPr>
        <w:autoSpaceDE w:val="0"/>
        <w:autoSpaceDN w:val="0"/>
        <w:adjustRightInd w:val="0"/>
        <w:spacing w:after="120"/>
        <w:ind w:firstLine="720"/>
        <w:jc w:val="both"/>
        <w:rPr>
          <w:rFonts w:ascii="Book Antiqua" w:hAnsi="Book Antiqua"/>
          <w:sz w:val="22"/>
          <w:lang w:val="en-US"/>
        </w:rPr>
      </w:pPr>
    </w:p>
    <w:p w14:paraId="2BC9777C" w14:textId="6AF9965D" w:rsidR="002106A7" w:rsidRDefault="002106A7" w:rsidP="003971F1">
      <w:pPr>
        <w:autoSpaceDE w:val="0"/>
        <w:autoSpaceDN w:val="0"/>
        <w:adjustRightInd w:val="0"/>
        <w:spacing w:after="120"/>
        <w:ind w:firstLine="720"/>
        <w:jc w:val="both"/>
        <w:rPr>
          <w:rFonts w:ascii="Book Antiqua" w:hAnsi="Book Antiqua"/>
          <w:sz w:val="22"/>
          <w:lang w:val="en-US"/>
        </w:rPr>
      </w:pPr>
    </w:p>
    <w:p w14:paraId="167D9886" w14:textId="77777777" w:rsidR="00565F74" w:rsidRDefault="00565F74" w:rsidP="00565F74">
      <w:pPr>
        <w:rPr>
          <w:rFonts w:ascii="Book Antiqua" w:hAnsi="Book Antiqua"/>
          <w:sz w:val="22"/>
          <w:lang w:val="en-US"/>
        </w:rPr>
      </w:pPr>
    </w:p>
    <w:p w14:paraId="2FA8C3C4" w14:textId="25774F91" w:rsidR="00565F74" w:rsidRPr="00565F74" w:rsidRDefault="00565F74" w:rsidP="00565F74">
      <w:pPr>
        <w:ind w:firstLine="720"/>
        <w:rPr>
          <w:rFonts w:ascii="Book Antiqua" w:hAnsi="Book Antiqua"/>
          <w:sz w:val="22"/>
          <w:lang w:val="en-US"/>
        </w:rPr>
      </w:pPr>
      <w:r>
        <w:rPr>
          <w:rFonts w:ascii="Book Antiqua" w:hAnsi="Book Antiqua"/>
          <w:sz w:val="22"/>
          <w:lang w:val="en-US"/>
        </w:rPr>
        <w:t>*</w:t>
      </w:r>
      <w:r w:rsidRPr="00565F74">
        <w:rPr>
          <w:rFonts w:ascii="Book Antiqua" w:hAnsi="Book Antiqua"/>
          <w:sz w:val="22"/>
          <w:lang w:val="en-US"/>
        </w:rPr>
        <w:t>2019 Global 100 dataset form on the Corporate Knights</w:t>
      </w:r>
      <w:r>
        <w:rPr>
          <w:rFonts w:ascii="Book Antiqua" w:hAnsi="Book Antiqua"/>
          <w:sz w:val="22"/>
          <w:lang w:val="en-US"/>
        </w:rPr>
        <w:t>.</w:t>
      </w:r>
    </w:p>
    <w:p w14:paraId="5C500642" w14:textId="77777777" w:rsidR="00565F74" w:rsidRDefault="00565F74">
      <w:pPr>
        <w:rPr>
          <w:rFonts w:ascii="Book Antiqua" w:hAnsi="Book Antiqua"/>
          <w:lang w:val="en-US"/>
        </w:rPr>
      </w:pPr>
    </w:p>
    <w:p w14:paraId="6447C675" w14:textId="5231D1F2" w:rsidR="001D6D53" w:rsidRDefault="001D6D53">
      <w:pPr>
        <w:rPr>
          <w:rFonts w:ascii="Book Antiqua" w:hAnsi="Book Antiqua"/>
          <w:lang w:val="en-US"/>
        </w:rPr>
      </w:pPr>
      <w:r>
        <w:rPr>
          <w:rFonts w:ascii="Book Antiqua" w:hAnsi="Book Antiqua"/>
          <w:lang w:val="en-US"/>
        </w:rPr>
        <w:br w:type="page"/>
      </w:r>
    </w:p>
    <w:p w14:paraId="7BB53F9A" w14:textId="47688535" w:rsidR="001D6D53" w:rsidRPr="003971F1" w:rsidRDefault="001D6D53" w:rsidP="00193670">
      <w:pPr>
        <w:pStyle w:val="Titolo2"/>
        <w:numPr>
          <w:ilvl w:val="0"/>
          <w:numId w:val="0"/>
        </w:numPr>
        <w:ind w:left="720"/>
      </w:pPr>
      <w:r>
        <w:lastRenderedPageBreak/>
        <w:t>Table 3</w:t>
      </w:r>
      <w:r w:rsidRPr="003971F1">
        <w:t xml:space="preserve">. </w:t>
      </w:r>
      <w:r w:rsidRPr="001D6D53">
        <w:t>Practices for and within the natural environmen</w:t>
      </w:r>
      <w:r w:rsidR="00F6284A">
        <w:t>t</w:t>
      </w:r>
    </w:p>
    <w:tbl>
      <w:tblPr>
        <w:tblStyle w:val="Grigliatabella"/>
        <w:tblW w:w="15310" w:type="dxa"/>
        <w:tblInd w:w="-714" w:type="dxa"/>
        <w:tblLook w:val="04A0" w:firstRow="1" w:lastRow="0" w:firstColumn="1" w:lastColumn="0" w:noHBand="0" w:noVBand="1"/>
      </w:tblPr>
      <w:tblGrid>
        <w:gridCol w:w="1945"/>
        <w:gridCol w:w="6561"/>
        <w:gridCol w:w="6804"/>
      </w:tblGrid>
      <w:tr w:rsidR="00F6284A" w:rsidRPr="008F6E85" w14:paraId="6A601594" w14:textId="77777777" w:rsidTr="00F6284A">
        <w:tc>
          <w:tcPr>
            <w:tcW w:w="1945" w:type="dxa"/>
            <w:vMerge w:val="restart"/>
            <w:vAlign w:val="center"/>
          </w:tcPr>
          <w:p w14:paraId="2D62F195" w14:textId="70B10AA9" w:rsidR="00F6284A" w:rsidRPr="008F6E85" w:rsidRDefault="00F6284A" w:rsidP="001D6D53">
            <w:pPr>
              <w:snapToGrid w:val="0"/>
              <w:spacing w:after="80" w:line="276" w:lineRule="auto"/>
              <w:rPr>
                <w:rFonts w:ascii="Book Antiqua" w:hAnsi="Book Antiqua"/>
                <w:sz w:val="20"/>
                <w:szCs w:val="20"/>
                <w:lang w:val="en-US"/>
              </w:rPr>
            </w:pPr>
            <w:r w:rsidRPr="008F6E85">
              <w:rPr>
                <w:rFonts w:ascii="Book Antiqua" w:hAnsi="Book Antiqua"/>
                <w:sz w:val="20"/>
                <w:szCs w:val="20"/>
                <w:lang w:val="en-US"/>
              </w:rPr>
              <w:t>Environmental practices</w:t>
            </w:r>
          </w:p>
        </w:tc>
        <w:tc>
          <w:tcPr>
            <w:tcW w:w="13365" w:type="dxa"/>
            <w:gridSpan w:val="2"/>
            <w:vAlign w:val="center"/>
          </w:tcPr>
          <w:p w14:paraId="1D4E8EFB" w14:textId="3F2500D7" w:rsidR="00F6284A" w:rsidRPr="008F6E85" w:rsidRDefault="00F6284A" w:rsidP="008F6E85">
            <w:pPr>
              <w:snapToGrid w:val="0"/>
              <w:spacing w:after="80" w:line="276" w:lineRule="auto"/>
              <w:jc w:val="center"/>
              <w:rPr>
                <w:rFonts w:ascii="Book Antiqua" w:hAnsi="Book Antiqua"/>
                <w:sz w:val="20"/>
                <w:szCs w:val="20"/>
                <w:lang w:val="en-US"/>
              </w:rPr>
            </w:pPr>
            <w:r w:rsidRPr="008F6E85">
              <w:rPr>
                <w:rFonts w:ascii="Book Antiqua" w:hAnsi="Book Antiqua"/>
                <w:sz w:val="20"/>
                <w:szCs w:val="20"/>
                <w:lang w:val="en-US"/>
              </w:rPr>
              <w:t>Italy</w:t>
            </w:r>
          </w:p>
        </w:tc>
      </w:tr>
      <w:tr w:rsidR="00F6284A" w:rsidRPr="008F6E85" w14:paraId="336B44DD" w14:textId="77777777" w:rsidTr="00F6284A">
        <w:tc>
          <w:tcPr>
            <w:tcW w:w="1945" w:type="dxa"/>
            <w:vMerge/>
            <w:vAlign w:val="center"/>
          </w:tcPr>
          <w:p w14:paraId="0328BBA4" w14:textId="220F61E5" w:rsidR="00F6284A" w:rsidRPr="008F6E85" w:rsidRDefault="00F6284A" w:rsidP="001D6D53">
            <w:pPr>
              <w:snapToGrid w:val="0"/>
              <w:spacing w:after="80" w:line="276" w:lineRule="auto"/>
              <w:rPr>
                <w:rFonts w:ascii="Book Antiqua" w:hAnsi="Book Antiqua"/>
                <w:sz w:val="20"/>
                <w:szCs w:val="20"/>
                <w:lang w:val="en-US"/>
              </w:rPr>
            </w:pPr>
          </w:p>
        </w:tc>
        <w:tc>
          <w:tcPr>
            <w:tcW w:w="6561" w:type="dxa"/>
          </w:tcPr>
          <w:p w14:paraId="2B2A4922" w14:textId="5282773A" w:rsidR="00F6284A" w:rsidRPr="008F6E85" w:rsidRDefault="00F6284A" w:rsidP="008F6E85">
            <w:pPr>
              <w:snapToGrid w:val="0"/>
              <w:spacing w:after="80" w:line="276" w:lineRule="auto"/>
              <w:jc w:val="center"/>
              <w:rPr>
                <w:rFonts w:ascii="Book Antiqua" w:hAnsi="Book Antiqua"/>
                <w:sz w:val="20"/>
                <w:szCs w:val="20"/>
                <w:lang w:val="en-US"/>
              </w:rPr>
            </w:pPr>
            <w:r w:rsidRPr="008F6E85">
              <w:rPr>
                <w:rFonts w:ascii="Book Antiqua" w:hAnsi="Book Antiqua"/>
                <w:sz w:val="20"/>
                <w:szCs w:val="20"/>
                <w:lang w:val="en-US"/>
              </w:rPr>
              <w:t>ERG</w:t>
            </w:r>
          </w:p>
        </w:tc>
        <w:tc>
          <w:tcPr>
            <w:tcW w:w="6804" w:type="dxa"/>
          </w:tcPr>
          <w:p w14:paraId="10447A44" w14:textId="74B55B64" w:rsidR="00F6284A" w:rsidRPr="008F6E85" w:rsidRDefault="00F6284A" w:rsidP="008F6E85">
            <w:pPr>
              <w:snapToGrid w:val="0"/>
              <w:spacing w:after="80" w:line="276" w:lineRule="auto"/>
              <w:jc w:val="center"/>
              <w:rPr>
                <w:rFonts w:ascii="Book Antiqua" w:hAnsi="Book Antiqua"/>
                <w:sz w:val="20"/>
                <w:szCs w:val="20"/>
                <w:lang w:val="en-US"/>
              </w:rPr>
            </w:pPr>
            <w:r w:rsidRPr="008F6E85">
              <w:rPr>
                <w:rFonts w:ascii="Book Antiqua" w:hAnsi="Book Antiqua"/>
                <w:sz w:val="20"/>
                <w:szCs w:val="20"/>
                <w:lang w:val="en-US"/>
              </w:rPr>
              <w:t>Intesa Sanpaolo</w:t>
            </w:r>
          </w:p>
        </w:tc>
      </w:tr>
      <w:tr w:rsidR="00F6284A" w:rsidRPr="008F6E85" w14:paraId="71605F17" w14:textId="77777777" w:rsidTr="00F6284A">
        <w:tc>
          <w:tcPr>
            <w:tcW w:w="1945" w:type="dxa"/>
            <w:vAlign w:val="center"/>
          </w:tcPr>
          <w:p w14:paraId="353DAFDF" w14:textId="61683EF0" w:rsidR="00F6284A" w:rsidRPr="008F6E85" w:rsidRDefault="00F6284A" w:rsidP="001D6D53">
            <w:pPr>
              <w:snapToGrid w:val="0"/>
              <w:spacing w:after="80" w:line="276" w:lineRule="auto"/>
              <w:rPr>
                <w:rFonts w:ascii="Book Antiqua" w:hAnsi="Book Antiqua"/>
                <w:sz w:val="20"/>
                <w:szCs w:val="20"/>
                <w:lang w:val="en-US"/>
              </w:rPr>
            </w:pPr>
            <w:r w:rsidRPr="008F6E85">
              <w:rPr>
                <w:rFonts w:ascii="Book Antiqua" w:hAnsi="Book Antiqua"/>
                <w:sz w:val="20"/>
                <w:szCs w:val="20"/>
                <w:lang w:val="en-US"/>
              </w:rPr>
              <w:t>Fight global warming</w:t>
            </w:r>
          </w:p>
        </w:tc>
        <w:tc>
          <w:tcPr>
            <w:tcW w:w="6561" w:type="dxa"/>
            <w:vAlign w:val="center"/>
          </w:tcPr>
          <w:p w14:paraId="1222425E" w14:textId="33676871" w:rsidR="00F6284A" w:rsidRPr="008F6E85" w:rsidRDefault="00F6284A" w:rsidP="00D81BD3">
            <w:pPr>
              <w:autoSpaceDE w:val="0"/>
              <w:autoSpaceDN w:val="0"/>
              <w:adjustRightInd w:val="0"/>
              <w:rPr>
                <w:rFonts w:ascii="Book Antiqua" w:hAnsi="Book Antiqua"/>
                <w:sz w:val="20"/>
                <w:szCs w:val="20"/>
                <w:lang w:val="en-US"/>
              </w:rPr>
            </w:pPr>
            <w:r>
              <w:rPr>
                <w:rFonts w:ascii="Book Antiqua" w:hAnsi="Book Antiqua"/>
                <w:sz w:val="20"/>
                <w:szCs w:val="20"/>
                <w:lang w:val="en-US"/>
              </w:rPr>
              <w:t xml:space="preserve">The Carbon Disclosure Project (CDP) is an initiative that was </w:t>
            </w:r>
            <w:r w:rsidRPr="00D81BD3">
              <w:rPr>
                <w:rFonts w:ascii="Book Antiqua" w:hAnsi="Book Antiqua"/>
                <w:sz w:val="20"/>
                <w:szCs w:val="20"/>
                <w:lang w:val="en-US"/>
              </w:rPr>
              <w:t xml:space="preserve">launched </w:t>
            </w:r>
            <w:r>
              <w:rPr>
                <w:rFonts w:ascii="Book Antiqua" w:hAnsi="Book Antiqua"/>
                <w:sz w:val="20"/>
                <w:szCs w:val="20"/>
                <w:lang w:val="en-US"/>
              </w:rPr>
              <w:t xml:space="preserve">to collect and disseminate both </w:t>
            </w:r>
            <w:r w:rsidRPr="00D81BD3">
              <w:rPr>
                <w:rFonts w:ascii="Book Antiqua" w:hAnsi="Book Antiqua"/>
                <w:sz w:val="20"/>
                <w:szCs w:val="20"/>
                <w:lang w:val="en-US"/>
              </w:rPr>
              <w:t>quantitative and qualitative information and data on the strategies</w:t>
            </w:r>
            <w:r>
              <w:rPr>
                <w:rFonts w:ascii="Book Antiqua" w:hAnsi="Book Antiqua"/>
                <w:sz w:val="20"/>
                <w:szCs w:val="20"/>
                <w:lang w:val="en-US"/>
              </w:rPr>
              <w:t xml:space="preserve"> that companies adopt to combat </w:t>
            </w:r>
            <w:r w:rsidRPr="00D81BD3">
              <w:rPr>
                <w:rFonts w:ascii="Book Antiqua" w:hAnsi="Book Antiqua"/>
                <w:sz w:val="20"/>
                <w:szCs w:val="20"/>
                <w:lang w:val="en-US"/>
              </w:rPr>
              <w:t>climate change.</w:t>
            </w:r>
          </w:p>
        </w:tc>
        <w:tc>
          <w:tcPr>
            <w:tcW w:w="6804" w:type="dxa"/>
            <w:vAlign w:val="center"/>
          </w:tcPr>
          <w:p w14:paraId="4758C546" w14:textId="05339B83" w:rsidR="00F6284A" w:rsidRPr="00D81BD3" w:rsidRDefault="00F6284A" w:rsidP="00D81BD3">
            <w:pPr>
              <w:pStyle w:val="Pa15"/>
              <w:rPr>
                <w:rFonts w:ascii="Book Antiqua" w:eastAsia="Times New Roman" w:hAnsi="Book Antiqua" w:cs="Times New Roman"/>
                <w:sz w:val="20"/>
                <w:szCs w:val="20"/>
                <w:lang w:val="en-US" w:eastAsia="it-IT"/>
              </w:rPr>
            </w:pPr>
            <w:r>
              <w:rPr>
                <w:rFonts w:ascii="Book Antiqua" w:eastAsia="Times New Roman" w:hAnsi="Book Antiqua" w:cs="Times New Roman"/>
                <w:sz w:val="20"/>
                <w:szCs w:val="20"/>
                <w:lang w:val="en-US" w:eastAsia="it-IT"/>
              </w:rPr>
              <w:t xml:space="preserve">Intesa Sanpaolo is backing </w:t>
            </w:r>
            <w:r w:rsidRPr="00D81BD3">
              <w:rPr>
                <w:rFonts w:ascii="Book Antiqua" w:eastAsia="Times New Roman" w:hAnsi="Book Antiqua" w:cs="Times New Roman"/>
                <w:sz w:val="20"/>
                <w:szCs w:val="20"/>
                <w:lang w:val="en-US" w:eastAsia="it-IT"/>
              </w:rPr>
              <w:t>the transition to a low-car</w:t>
            </w:r>
            <w:r>
              <w:rPr>
                <w:rFonts w:ascii="Book Antiqua" w:eastAsia="Times New Roman" w:hAnsi="Book Antiqua" w:cs="Times New Roman"/>
                <w:sz w:val="20"/>
                <w:szCs w:val="20"/>
                <w:lang w:val="en-US" w:eastAsia="it-IT"/>
              </w:rPr>
              <w:t xml:space="preserve">bon economy through its actions </w:t>
            </w:r>
            <w:r w:rsidRPr="00D81BD3">
              <w:rPr>
                <w:rFonts w:ascii="Book Antiqua" w:eastAsia="Times New Roman" w:hAnsi="Book Antiqua" w:cs="Times New Roman"/>
                <w:sz w:val="20"/>
                <w:szCs w:val="20"/>
                <w:lang w:val="en-US" w:eastAsia="it-IT"/>
              </w:rPr>
              <w:t xml:space="preserve">to mitigate its direct emissions and with its support for green initiatives and projects. </w:t>
            </w:r>
            <w:r>
              <w:rPr>
                <w:rFonts w:ascii="Book Antiqua" w:eastAsia="Times New Roman" w:hAnsi="Book Antiqua" w:cs="Times New Roman"/>
                <w:sz w:val="20"/>
                <w:szCs w:val="20"/>
                <w:lang w:val="en-US" w:eastAsia="it-IT"/>
              </w:rPr>
              <w:t xml:space="preserve"> </w:t>
            </w:r>
            <w:r>
              <w:rPr>
                <w:rFonts w:ascii="Book Antiqua" w:hAnsi="Book Antiqua"/>
                <w:sz w:val="20"/>
                <w:szCs w:val="20"/>
                <w:lang w:val="en-US"/>
              </w:rPr>
              <w:t xml:space="preserve">This </w:t>
            </w:r>
            <w:r w:rsidRPr="00D81BD3">
              <w:rPr>
                <w:rFonts w:ascii="Book Antiqua" w:hAnsi="Book Antiqua"/>
                <w:sz w:val="20"/>
                <w:szCs w:val="20"/>
                <w:lang w:val="en-US"/>
              </w:rPr>
              <w:t>commitment was reaf</w:t>
            </w:r>
            <w:r>
              <w:rPr>
                <w:rFonts w:ascii="Book Antiqua" w:hAnsi="Book Antiqua"/>
                <w:sz w:val="20"/>
                <w:szCs w:val="20"/>
                <w:lang w:val="en-US"/>
              </w:rPr>
              <w:t>firmed in the 2018-2021 Business Plan</w:t>
            </w:r>
          </w:p>
        </w:tc>
      </w:tr>
      <w:tr w:rsidR="00F6284A" w:rsidRPr="00846BF6" w14:paraId="24C5927C" w14:textId="77777777" w:rsidTr="00F6284A">
        <w:tc>
          <w:tcPr>
            <w:tcW w:w="1945" w:type="dxa"/>
            <w:vAlign w:val="center"/>
          </w:tcPr>
          <w:p w14:paraId="192CF230" w14:textId="783B13EF" w:rsidR="00F6284A" w:rsidRPr="008F6E85" w:rsidRDefault="00F6284A" w:rsidP="001D6D53">
            <w:pPr>
              <w:snapToGrid w:val="0"/>
              <w:spacing w:after="80" w:line="276" w:lineRule="auto"/>
              <w:rPr>
                <w:rFonts w:ascii="Book Antiqua" w:hAnsi="Book Antiqua"/>
                <w:sz w:val="20"/>
                <w:szCs w:val="20"/>
                <w:lang w:val="en-US"/>
              </w:rPr>
            </w:pPr>
            <w:r w:rsidRPr="008F6E85">
              <w:rPr>
                <w:rFonts w:ascii="Book Antiqua" w:hAnsi="Book Antiqua"/>
                <w:sz w:val="20"/>
                <w:szCs w:val="20"/>
                <w:lang w:val="en-US"/>
              </w:rPr>
              <w:t>Reduce greenhouse gas emission</w:t>
            </w:r>
          </w:p>
        </w:tc>
        <w:tc>
          <w:tcPr>
            <w:tcW w:w="6561" w:type="dxa"/>
            <w:vAlign w:val="center"/>
          </w:tcPr>
          <w:p w14:paraId="54E57A33" w14:textId="4B0F08C8" w:rsidR="00F6284A" w:rsidRPr="008F6E85" w:rsidRDefault="00F6284A" w:rsidP="001D6D53">
            <w:pPr>
              <w:snapToGrid w:val="0"/>
              <w:spacing w:after="80" w:line="276" w:lineRule="auto"/>
              <w:rPr>
                <w:rFonts w:ascii="Book Antiqua" w:hAnsi="Book Antiqua"/>
                <w:sz w:val="20"/>
                <w:szCs w:val="20"/>
                <w:lang w:val="en-US"/>
              </w:rPr>
            </w:pPr>
            <w:r w:rsidRPr="00D81BD3">
              <w:rPr>
                <w:rFonts w:ascii="Book Antiqua" w:hAnsi="Book Antiqua"/>
                <w:sz w:val="20"/>
                <w:szCs w:val="20"/>
                <w:lang w:val="en-US"/>
              </w:rPr>
              <w:t>The ERG Group’s renewable energy plants (wind, solar and hydroelectric) do not generate direct emissions</w:t>
            </w:r>
            <w:r>
              <w:rPr>
                <w:rFonts w:ascii="Book Antiqua" w:hAnsi="Book Antiqua"/>
                <w:sz w:val="20"/>
                <w:szCs w:val="20"/>
                <w:lang w:val="en-US"/>
              </w:rPr>
              <w:t xml:space="preserve"> </w:t>
            </w:r>
          </w:p>
        </w:tc>
        <w:tc>
          <w:tcPr>
            <w:tcW w:w="6804" w:type="dxa"/>
            <w:vAlign w:val="center"/>
          </w:tcPr>
          <w:p w14:paraId="028DD5FD" w14:textId="5BFC5D95" w:rsidR="00F6284A" w:rsidRPr="00D81BD3" w:rsidRDefault="00F6284A" w:rsidP="001D6D53">
            <w:pPr>
              <w:snapToGrid w:val="0"/>
              <w:spacing w:after="80" w:line="276" w:lineRule="auto"/>
              <w:rPr>
                <w:rFonts w:ascii="Book Antiqua" w:hAnsi="Book Antiqua"/>
                <w:sz w:val="20"/>
                <w:szCs w:val="20"/>
                <w:lang w:val="en-GB"/>
              </w:rPr>
            </w:pPr>
            <w:r>
              <w:rPr>
                <w:rFonts w:ascii="Book Antiqua" w:eastAsiaTheme="minorHAnsi" w:hAnsi="Book Antiqua" w:cs="Arial"/>
                <w:sz w:val="20"/>
                <w:szCs w:val="20"/>
                <w:lang w:val="en-US" w:eastAsia="en-US"/>
              </w:rPr>
              <w:t xml:space="preserve">The mitigation and containment of CO2 </w:t>
            </w:r>
            <w:r w:rsidRPr="00D81BD3">
              <w:rPr>
                <w:rFonts w:ascii="Book Antiqua" w:eastAsiaTheme="minorHAnsi" w:hAnsi="Book Antiqua" w:cs="Arial"/>
                <w:sz w:val="20"/>
                <w:szCs w:val="20"/>
                <w:lang w:val="en-US" w:eastAsia="en-US"/>
              </w:rPr>
              <w:t>emissions play an important role in the policies of the Group which, with the Climate Change Actio</w:t>
            </w:r>
            <w:r>
              <w:rPr>
                <w:rFonts w:ascii="Book Antiqua" w:eastAsiaTheme="minorHAnsi" w:hAnsi="Book Antiqua" w:cs="Arial"/>
                <w:sz w:val="20"/>
                <w:szCs w:val="20"/>
                <w:lang w:val="en-US" w:eastAsia="en-US"/>
              </w:rPr>
              <w:t xml:space="preserve">n Plan, has identified specific </w:t>
            </w:r>
            <w:r w:rsidRPr="00D81BD3">
              <w:rPr>
                <w:rFonts w:ascii="Book Antiqua" w:eastAsiaTheme="minorHAnsi" w:hAnsi="Book Antiqua" w:cs="Arial"/>
                <w:sz w:val="20"/>
                <w:szCs w:val="20"/>
                <w:lang w:val="en-US" w:eastAsia="en-US"/>
              </w:rPr>
              <w:t>medium-term actions for reducing its environmental footprint and, as a result, its emissions.</w:t>
            </w:r>
          </w:p>
        </w:tc>
      </w:tr>
      <w:tr w:rsidR="00F6284A" w:rsidRPr="008F6E85" w14:paraId="64E639A6" w14:textId="77777777" w:rsidTr="00F6284A">
        <w:tc>
          <w:tcPr>
            <w:tcW w:w="1945" w:type="dxa"/>
            <w:vAlign w:val="center"/>
          </w:tcPr>
          <w:p w14:paraId="4A9153A5" w14:textId="67D47F1B" w:rsidR="00F6284A" w:rsidRPr="008F6E85" w:rsidRDefault="00F6284A" w:rsidP="004044A4">
            <w:pPr>
              <w:snapToGrid w:val="0"/>
              <w:spacing w:after="80" w:line="276" w:lineRule="auto"/>
              <w:rPr>
                <w:rFonts w:ascii="Book Antiqua" w:hAnsi="Book Antiqua"/>
                <w:sz w:val="20"/>
                <w:szCs w:val="20"/>
                <w:lang w:val="en-US"/>
              </w:rPr>
            </w:pPr>
            <w:r w:rsidRPr="008F6E85">
              <w:rPr>
                <w:rFonts w:ascii="Book Antiqua" w:hAnsi="Book Antiqua"/>
                <w:sz w:val="20"/>
                <w:szCs w:val="20"/>
                <w:lang w:val="en-US"/>
              </w:rPr>
              <w:t xml:space="preserve">Development of energy resources  </w:t>
            </w:r>
          </w:p>
        </w:tc>
        <w:tc>
          <w:tcPr>
            <w:tcW w:w="6561" w:type="dxa"/>
            <w:vAlign w:val="center"/>
          </w:tcPr>
          <w:p w14:paraId="51673B42" w14:textId="00A2375C" w:rsidR="00F6284A" w:rsidRPr="008F6E85" w:rsidRDefault="00F6284A" w:rsidP="004044A4">
            <w:pPr>
              <w:autoSpaceDE w:val="0"/>
              <w:autoSpaceDN w:val="0"/>
              <w:adjustRightInd w:val="0"/>
              <w:jc w:val="center"/>
              <w:rPr>
                <w:rFonts w:ascii="Book Antiqua" w:hAnsi="Book Antiqua"/>
                <w:sz w:val="20"/>
                <w:szCs w:val="20"/>
                <w:lang w:val="en-US"/>
              </w:rPr>
            </w:pPr>
            <w:r w:rsidRPr="004044A4">
              <w:rPr>
                <w:rFonts w:ascii="Book Antiqua" w:hAnsi="Book Antiqua"/>
                <w:sz w:val="20"/>
                <w:szCs w:val="20"/>
                <w:lang w:val="en-US"/>
              </w:rPr>
              <w:t>The ERG Group renewable energy plants (wind, solar and hydroelectric) use a fairly small amo</w:t>
            </w:r>
            <w:r>
              <w:rPr>
                <w:rFonts w:ascii="Book Antiqua" w:hAnsi="Book Antiqua"/>
                <w:sz w:val="20"/>
                <w:szCs w:val="20"/>
                <w:lang w:val="en-US"/>
              </w:rPr>
              <w:t xml:space="preserve">unt of </w:t>
            </w:r>
            <w:r w:rsidRPr="004044A4">
              <w:rPr>
                <w:rFonts w:ascii="Book Antiqua" w:hAnsi="Book Antiqua"/>
                <w:sz w:val="20"/>
                <w:szCs w:val="20"/>
                <w:lang w:val="en-US"/>
              </w:rPr>
              <w:t xml:space="preserve">electricity acquired from the grid, enough to guarantee a continuous supply </w:t>
            </w:r>
            <w:r>
              <w:rPr>
                <w:rFonts w:ascii="Book Antiqua" w:hAnsi="Book Antiqua"/>
                <w:sz w:val="20"/>
                <w:szCs w:val="20"/>
                <w:lang w:val="en-US"/>
              </w:rPr>
              <w:t xml:space="preserve">of electricity to the ancillary systems and safety systems. </w:t>
            </w:r>
            <w:r w:rsidRPr="004044A4">
              <w:rPr>
                <w:rFonts w:ascii="Book Antiqua" w:hAnsi="Book Antiqua"/>
                <w:sz w:val="20"/>
                <w:szCs w:val="20"/>
                <w:lang w:val="en-US"/>
              </w:rPr>
              <w:t>During regular operations the plants produce enough electricity to satisfy their requirements.</w:t>
            </w:r>
          </w:p>
        </w:tc>
        <w:tc>
          <w:tcPr>
            <w:tcW w:w="6804" w:type="dxa"/>
            <w:vAlign w:val="center"/>
          </w:tcPr>
          <w:p w14:paraId="005936A3" w14:textId="5D88DB0E" w:rsidR="00F6284A" w:rsidRPr="008F6E85" w:rsidRDefault="00F6284A" w:rsidP="004044A4">
            <w:pPr>
              <w:snapToGrid w:val="0"/>
              <w:spacing w:after="80" w:line="276" w:lineRule="auto"/>
              <w:jc w:val="center"/>
              <w:rPr>
                <w:rFonts w:ascii="Book Antiqua" w:hAnsi="Book Antiqua"/>
                <w:sz w:val="20"/>
                <w:szCs w:val="20"/>
                <w:lang w:val="en-US"/>
              </w:rPr>
            </w:pPr>
            <w:r>
              <w:rPr>
                <w:rFonts w:ascii="Book Antiqua" w:hAnsi="Book Antiqua"/>
                <w:sz w:val="20"/>
                <w:szCs w:val="20"/>
                <w:lang w:val="en-US"/>
              </w:rPr>
              <w:t>–</w:t>
            </w:r>
          </w:p>
        </w:tc>
      </w:tr>
      <w:tr w:rsidR="00F6284A" w:rsidRPr="008F6E85" w14:paraId="71DB710C" w14:textId="77777777" w:rsidTr="00F6284A">
        <w:tc>
          <w:tcPr>
            <w:tcW w:w="1945" w:type="dxa"/>
            <w:vAlign w:val="center"/>
          </w:tcPr>
          <w:p w14:paraId="6F3E7CA1" w14:textId="2936FF0D" w:rsidR="00F6284A" w:rsidRPr="008F6E85" w:rsidRDefault="00F6284A" w:rsidP="00294E6C">
            <w:pPr>
              <w:snapToGrid w:val="0"/>
              <w:spacing w:after="80" w:line="276" w:lineRule="auto"/>
              <w:rPr>
                <w:rFonts w:ascii="Book Antiqua" w:hAnsi="Book Antiqua"/>
                <w:sz w:val="20"/>
                <w:szCs w:val="20"/>
                <w:lang w:val="en-US"/>
              </w:rPr>
            </w:pPr>
            <w:r w:rsidRPr="008F6E85">
              <w:rPr>
                <w:rFonts w:ascii="Book Antiqua" w:hAnsi="Book Antiqua"/>
                <w:sz w:val="20"/>
                <w:szCs w:val="20"/>
                <w:lang w:val="en-US"/>
              </w:rPr>
              <w:t>Take into account visual and noise impact of plants</w:t>
            </w:r>
          </w:p>
        </w:tc>
        <w:tc>
          <w:tcPr>
            <w:tcW w:w="6561" w:type="dxa"/>
            <w:vAlign w:val="center"/>
          </w:tcPr>
          <w:p w14:paraId="7267738F" w14:textId="5F6CBC33" w:rsidR="00F6284A" w:rsidRPr="008F6E85" w:rsidRDefault="00F6284A" w:rsidP="00294E6C">
            <w:pPr>
              <w:snapToGrid w:val="0"/>
              <w:spacing w:after="80" w:line="276" w:lineRule="auto"/>
              <w:jc w:val="center"/>
              <w:rPr>
                <w:rFonts w:ascii="Book Antiqua" w:hAnsi="Book Antiqua"/>
                <w:sz w:val="20"/>
                <w:szCs w:val="20"/>
                <w:lang w:val="en-US"/>
              </w:rPr>
            </w:pPr>
            <w:r>
              <w:rPr>
                <w:rFonts w:ascii="Book Antiqua" w:hAnsi="Book Antiqua"/>
                <w:sz w:val="20"/>
                <w:szCs w:val="20"/>
                <w:lang w:val="en-US"/>
              </w:rPr>
              <w:t>Visual and noise impact of plants: assessment and mitigation action</w:t>
            </w:r>
          </w:p>
        </w:tc>
        <w:tc>
          <w:tcPr>
            <w:tcW w:w="6804" w:type="dxa"/>
            <w:vAlign w:val="center"/>
          </w:tcPr>
          <w:p w14:paraId="05C93142" w14:textId="62E79BB5" w:rsidR="00F6284A" w:rsidRPr="008F6E85" w:rsidRDefault="00F6284A" w:rsidP="00294E6C">
            <w:pPr>
              <w:snapToGrid w:val="0"/>
              <w:spacing w:after="80" w:line="276" w:lineRule="auto"/>
              <w:jc w:val="center"/>
              <w:rPr>
                <w:rFonts w:ascii="Book Antiqua" w:hAnsi="Book Antiqua"/>
                <w:sz w:val="20"/>
                <w:szCs w:val="20"/>
                <w:lang w:val="en-US"/>
              </w:rPr>
            </w:pPr>
            <w:r>
              <w:rPr>
                <w:rFonts w:ascii="Book Antiqua" w:hAnsi="Book Antiqua"/>
                <w:sz w:val="20"/>
                <w:szCs w:val="20"/>
                <w:lang w:val="en-US"/>
              </w:rPr>
              <w:t>–</w:t>
            </w:r>
          </w:p>
        </w:tc>
      </w:tr>
      <w:tr w:rsidR="00F6284A" w:rsidRPr="00846BF6" w14:paraId="65F710C6" w14:textId="77777777" w:rsidTr="00F6284A">
        <w:tc>
          <w:tcPr>
            <w:tcW w:w="1945" w:type="dxa"/>
            <w:vAlign w:val="center"/>
          </w:tcPr>
          <w:p w14:paraId="0A8CDCB6" w14:textId="4234718F" w:rsidR="00F6284A" w:rsidRPr="008F6E85" w:rsidRDefault="00F6284A" w:rsidP="00294E6C">
            <w:pPr>
              <w:snapToGrid w:val="0"/>
              <w:spacing w:after="80" w:line="276" w:lineRule="auto"/>
              <w:rPr>
                <w:rFonts w:ascii="Book Antiqua" w:hAnsi="Book Antiqua"/>
                <w:sz w:val="20"/>
                <w:szCs w:val="20"/>
                <w:lang w:val="en-US"/>
              </w:rPr>
            </w:pPr>
            <w:r w:rsidRPr="008F6E85">
              <w:rPr>
                <w:rFonts w:ascii="Book Antiqua" w:hAnsi="Book Antiqua"/>
                <w:sz w:val="20"/>
                <w:szCs w:val="20"/>
                <w:lang w:val="en-US"/>
              </w:rPr>
              <w:t>Treatment of effluents and waste</w:t>
            </w:r>
          </w:p>
        </w:tc>
        <w:tc>
          <w:tcPr>
            <w:tcW w:w="6561" w:type="dxa"/>
            <w:vAlign w:val="center"/>
          </w:tcPr>
          <w:p w14:paraId="1F618DD2" w14:textId="219BC71B" w:rsidR="00F6284A" w:rsidRPr="008F6E85" w:rsidRDefault="00F6284A" w:rsidP="00294E6C">
            <w:pPr>
              <w:autoSpaceDE w:val="0"/>
              <w:autoSpaceDN w:val="0"/>
              <w:adjustRightInd w:val="0"/>
              <w:rPr>
                <w:rFonts w:ascii="Book Antiqua" w:hAnsi="Book Antiqua"/>
                <w:sz w:val="20"/>
                <w:szCs w:val="20"/>
                <w:lang w:val="en-US"/>
              </w:rPr>
            </w:pPr>
            <w:r w:rsidRPr="00294E6C">
              <w:rPr>
                <w:rFonts w:ascii="Book Antiqua" w:hAnsi="Book Antiqua"/>
                <w:sz w:val="20"/>
                <w:szCs w:val="20"/>
                <w:lang w:val="en-US"/>
              </w:rPr>
              <w:t xml:space="preserve">The existence of certified </w:t>
            </w:r>
            <w:r>
              <w:rPr>
                <w:rFonts w:ascii="Book Antiqua" w:hAnsi="Book Antiqua"/>
                <w:sz w:val="20"/>
                <w:szCs w:val="20"/>
                <w:lang w:val="en-US"/>
              </w:rPr>
              <w:t xml:space="preserve"> </w:t>
            </w:r>
            <w:r w:rsidRPr="00294E6C">
              <w:rPr>
                <w:rFonts w:ascii="Book Antiqua" w:hAnsi="Book Antiqua"/>
                <w:sz w:val="20"/>
                <w:szCs w:val="20"/>
                <w:lang w:val="en-US"/>
              </w:rPr>
              <w:t>systems guarantees the consta</w:t>
            </w:r>
            <w:r>
              <w:rPr>
                <w:rFonts w:ascii="Book Antiqua" w:hAnsi="Book Antiqua"/>
                <w:sz w:val="20"/>
                <w:szCs w:val="20"/>
                <w:lang w:val="en-US"/>
              </w:rPr>
              <w:t xml:space="preserve">nt monitoring of updates to the </w:t>
            </w:r>
            <w:r w:rsidRPr="00294E6C">
              <w:rPr>
                <w:rFonts w:ascii="Book Antiqua" w:hAnsi="Book Antiqua"/>
                <w:sz w:val="20"/>
                <w:szCs w:val="20"/>
                <w:lang w:val="en-US"/>
              </w:rPr>
              <w:t>regulations and that plant operations are carried o</w:t>
            </w:r>
            <w:r>
              <w:rPr>
                <w:rFonts w:ascii="Book Antiqua" w:hAnsi="Book Antiqua"/>
                <w:sz w:val="20"/>
                <w:szCs w:val="20"/>
                <w:lang w:val="en-US"/>
              </w:rPr>
              <w:t xml:space="preserve">ut according to procedures that respect best practices </w:t>
            </w:r>
            <w:r w:rsidRPr="00294E6C">
              <w:rPr>
                <w:rFonts w:ascii="Book Antiqua" w:hAnsi="Book Antiqua"/>
                <w:sz w:val="20"/>
                <w:szCs w:val="20"/>
                <w:lang w:val="en-US"/>
              </w:rPr>
              <w:t>and the reference regulations.</w:t>
            </w:r>
          </w:p>
        </w:tc>
        <w:tc>
          <w:tcPr>
            <w:tcW w:w="6804" w:type="dxa"/>
            <w:vAlign w:val="center"/>
          </w:tcPr>
          <w:p w14:paraId="7C8A82F5" w14:textId="7C3DEEE9" w:rsidR="00F6284A" w:rsidRPr="00294E6C" w:rsidRDefault="00F6284A" w:rsidP="007061E3">
            <w:pPr>
              <w:pStyle w:val="Pa15"/>
              <w:rPr>
                <w:rFonts w:ascii="Book Antiqua" w:eastAsia="Times New Roman" w:hAnsi="Book Antiqua" w:cs="Times New Roman"/>
                <w:sz w:val="20"/>
                <w:szCs w:val="20"/>
                <w:lang w:val="en-US" w:eastAsia="it-IT"/>
              </w:rPr>
            </w:pPr>
            <w:r>
              <w:rPr>
                <w:rFonts w:ascii="Book Antiqua" w:eastAsia="Times New Roman" w:hAnsi="Book Antiqua" w:cs="Times New Roman"/>
                <w:sz w:val="20"/>
                <w:szCs w:val="20"/>
                <w:lang w:val="en-US" w:eastAsia="it-IT"/>
              </w:rPr>
              <w:t>I</w:t>
            </w:r>
            <w:r w:rsidRPr="00294E6C">
              <w:rPr>
                <w:rFonts w:ascii="Book Antiqua" w:eastAsia="Times New Roman" w:hAnsi="Book Antiqua" w:cs="Times New Roman"/>
                <w:sz w:val="20"/>
                <w:szCs w:val="20"/>
                <w:lang w:val="en-US" w:eastAsia="it-IT"/>
              </w:rPr>
              <w:t>ntesa Sanpaolo adopted an Environment</w:t>
            </w:r>
            <w:r>
              <w:rPr>
                <w:rFonts w:ascii="Book Antiqua" w:eastAsia="Times New Roman" w:hAnsi="Book Antiqua" w:cs="Times New Roman"/>
                <w:sz w:val="20"/>
                <w:szCs w:val="20"/>
                <w:lang w:val="en-US" w:eastAsia="it-IT"/>
              </w:rPr>
              <w:t xml:space="preserve">al and Energy Management System </w:t>
            </w:r>
            <w:r w:rsidRPr="00294E6C">
              <w:rPr>
                <w:rFonts w:ascii="Book Antiqua" w:eastAsia="Times New Roman" w:hAnsi="Book Antiqua" w:cs="Times New Roman"/>
                <w:sz w:val="20"/>
                <w:szCs w:val="20"/>
                <w:lang w:val="en-US" w:eastAsia="it-IT"/>
              </w:rPr>
              <w:t>(EEMS), implemented in accordance wi</w:t>
            </w:r>
            <w:r>
              <w:rPr>
                <w:rFonts w:ascii="Book Antiqua" w:eastAsia="Times New Roman" w:hAnsi="Book Antiqua" w:cs="Times New Roman"/>
                <w:sz w:val="20"/>
                <w:szCs w:val="20"/>
                <w:lang w:val="en-US" w:eastAsia="it-IT"/>
              </w:rPr>
              <w:t xml:space="preserve">th the most important reference </w:t>
            </w:r>
            <w:r w:rsidRPr="00294E6C">
              <w:rPr>
                <w:rFonts w:ascii="Book Antiqua" w:eastAsia="Times New Roman" w:hAnsi="Book Antiqua" w:cs="Times New Roman"/>
                <w:sz w:val="20"/>
                <w:szCs w:val="20"/>
                <w:lang w:val="en-US" w:eastAsia="it-IT"/>
              </w:rPr>
              <w:t xml:space="preserve">international standards (ISO 14001 and ISO 50001), and subject to annual certification by an independent, third-party body. </w:t>
            </w:r>
            <w:r>
              <w:rPr>
                <w:rFonts w:ascii="Book Antiqua" w:eastAsia="Times New Roman" w:hAnsi="Book Antiqua" w:cs="Times New Roman"/>
                <w:sz w:val="20"/>
                <w:szCs w:val="20"/>
                <w:lang w:val="en-US" w:eastAsia="it-IT"/>
              </w:rPr>
              <w:t xml:space="preserve"> </w:t>
            </w:r>
            <w:r w:rsidRPr="00294E6C">
              <w:rPr>
                <w:rFonts w:ascii="Book Antiqua" w:hAnsi="Book Antiqua"/>
                <w:sz w:val="20"/>
                <w:szCs w:val="20"/>
                <w:lang w:val="en-US"/>
              </w:rPr>
              <w:t>In addition, in order to translate the environmental protection commitment into concrete actions, the roles of Energy Manager and Mobility Manager were established, responsible for ensuring constant oversight in areas within their remit.</w:t>
            </w:r>
          </w:p>
        </w:tc>
      </w:tr>
      <w:tr w:rsidR="00F6284A" w:rsidRPr="008F6E85" w14:paraId="730478F7" w14:textId="77777777" w:rsidTr="00F6284A">
        <w:tc>
          <w:tcPr>
            <w:tcW w:w="1945" w:type="dxa"/>
            <w:vAlign w:val="center"/>
          </w:tcPr>
          <w:p w14:paraId="524B7503" w14:textId="48E9E33C" w:rsidR="00F6284A" w:rsidRPr="008F6E85" w:rsidRDefault="00F6284A" w:rsidP="00294E6C">
            <w:pPr>
              <w:snapToGrid w:val="0"/>
              <w:spacing w:after="80" w:line="276" w:lineRule="auto"/>
              <w:rPr>
                <w:rFonts w:ascii="Book Antiqua" w:hAnsi="Book Antiqua"/>
                <w:sz w:val="20"/>
                <w:szCs w:val="20"/>
                <w:lang w:val="en-US"/>
              </w:rPr>
            </w:pPr>
            <w:r w:rsidRPr="008F6E85">
              <w:rPr>
                <w:rFonts w:ascii="Book Antiqua" w:hAnsi="Book Antiqua"/>
                <w:sz w:val="20"/>
                <w:szCs w:val="20"/>
                <w:lang w:val="en-US"/>
              </w:rPr>
              <w:t>Eco-friendly technologies</w:t>
            </w:r>
          </w:p>
        </w:tc>
        <w:tc>
          <w:tcPr>
            <w:tcW w:w="6561" w:type="dxa"/>
            <w:vAlign w:val="center"/>
          </w:tcPr>
          <w:p w14:paraId="46361390" w14:textId="5E851230" w:rsidR="00F6284A" w:rsidRPr="007061E3" w:rsidRDefault="00F6284A" w:rsidP="007061E3">
            <w:pPr>
              <w:autoSpaceDE w:val="0"/>
              <w:autoSpaceDN w:val="0"/>
              <w:adjustRightInd w:val="0"/>
              <w:rPr>
                <w:rFonts w:ascii="Book Antiqua" w:hAnsi="Book Antiqua"/>
                <w:sz w:val="20"/>
                <w:szCs w:val="20"/>
                <w:lang w:val="en-US"/>
              </w:rPr>
            </w:pPr>
            <w:r w:rsidRPr="007061E3">
              <w:rPr>
                <w:rFonts w:ascii="Book Antiqua" w:hAnsi="Book Antiqua"/>
                <w:sz w:val="20"/>
                <w:szCs w:val="20"/>
                <w:lang w:val="en-US"/>
              </w:rPr>
              <w:t>In-sourcing of a</w:t>
            </w:r>
            <w:r>
              <w:rPr>
                <w:rFonts w:ascii="Book Antiqua" w:hAnsi="Book Antiqua"/>
                <w:sz w:val="20"/>
                <w:szCs w:val="20"/>
                <w:lang w:val="en-US"/>
              </w:rPr>
              <w:t xml:space="preserve">ctivities is a resource for our </w:t>
            </w:r>
            <w:r w:rsidRPr="007061E3">
              <w:rPr>
                <w:rFonts w:ascii="Book Antiqua" w:hAnsi="Book Antiqua"/>
                <w:sz w:val="20"/>
                <w:szCs w:val="20"/>
                <w:lang w:val="en-US"/>
              </w:rPr>
              <w:t>future, to</w:t>
            </w:r>
            <w:r>
              <w:rPr>
                <w:rFonts w:ascii="Book Antiqua" w:hAnsi="Book Antiqua"/>
                <w:sz w:val="20"/>
                <w:szCs w:val="20"/>
                <w:lang w:val="en-US"/>
              </w:rPr>
              <w:t xml:space="preserve"> increasingly better handle our plants </w:t>
            </w:r>
            <w:r w:rsidRPr="007061E3">
              <w:rPr>
                <w:rFonts w:ascii="Book Antiqua" w:hAnsi="Book Antiqua"/>
                <w:sz w:val="20"/>
                <w:szCs w:val="20"/>
                <w:lang w:val="en-US"/>
              </w:rPr>
              <w:t xml:space="preserve">and </w:t>
            </w:r>
            <w:r>
              <w:rPr>
                <w:rFonts w:ascii="Book Antiqua" w:hAnsi="Book Antiqua"/>
                <w:sz w:val="20"/>
                <w:szCs w:val="20"/>
                <w:lang w:val="en-US"/>
              </w:rPr>
              <w:t xml:space="preserve">achieve the best profitability. </w:t>
            </w:r>
            <w:r w:rsidRPr="007061E3">
              <w:rPr>
                <w:rFonts w:ascii="Book Antiqua" w:hAnsi="Book Antiqua"/>
                <w:sz w:val="20"/>
                <w:szCs w:val="20"/>
                <w:lang w:val="en-US"/>
              </w:rPr>
              <w:t xml:space="preserve">However, </w:t>
            </w:r>
            <w:r>
              <w:rPr>
                <w:rFonts w:ascii="Book Antiqua" w:hAnsi="Book Antiqua"/>
                <w:sz w:val="20"/>
                <w:szCs w:val="20"/>
                <w:lang w:val="en-US"/>
              </w:rPr>
              <w:t xml:space="preserve">maintenance is an activity that </w:t>
            </w:r>
            <w:r w:rsidRPr="007061E3">
              <w:rPr>
                <w:rFonts w:ascii="Book Antiqua" w:hAnsi="Book Antiqua"/>
                <w:sz w:val="20"/>
                <w:szCs w:val="20"/>
                <w:lang w:val="en-US"/>
              </w:rPr>
              <w:t>requires signifi</w:t>
            </w:r>
            <w:r>
              <w:rPr>
                <w:rFonts w:ascii="Book Antiqua" w:hAnsi="Book Antiqua"/>
                <w:sz w:val="20"/>
                <w:szCs w:val="20"/>
                <w:lang w:val="en-US"/>
              </w:rPr>
              <w:t xml:space="preserve">cant physical effort and highly </w:t>
            </w:r>
            <w:r w:rsidRPr="007061E3">
              <w:rPr>
                <w:rFonts w:ascii="Book Antiqua" w:hAnsi="Book Antiqua"/>
                <w:sz w:val="20"/>
                <w:szCs w:val="20"/>
                <w:lang w:val="en-US"/>
              </w:rPr>
              <w:t>diversified knowledge: for this re</w:t>
            </w:r>
            <w:r>
              <w:rPr>
                <w:rFonts w:ascii="Book Antiqua" w:hAnsi="Book Antiqua"/>
                <w:sz w:val="20"/>
                <w:szCs w:val="20"/>
                <w:lang w:val="en-US"/>
              </w:rPr>
              <w:t xml:space="preserve">ason, we have </w:t>
            </w:r>
            <w:r w:rsidRPr="007061E3">
              <w:rPr>
                <w:rFonts w:ascii="Book Antiqua" w:hAnsi="Book Antiqua"/>
                <w:sz w:val="20"/>
                <w:szCs w:val="20"/>
                <w:lang w:val="en-US"/>
              </w:rPr>
              <w:t xml:space="preserve">developed and </w:t>
            </w:r>
            <w:r>
              <w:rPr>
                <w:rFonts w:ascii="Book Antiqua" w:hAnsi="Book Antiqua"/>
                <w:sz w:val="20"/>
                <w:szCs w:val="20"/>
                <w:lang w:val="en-US"/>
              </w:rPr>
              <w:lastRenderedPageBreak/>
              <w:t xml:space="preserve">are experimenting with a series </w:t>
            </w:r>
            <w:r w:rsidRPr="007061E3">
              <w:rPr>
                <w:rFonts w:ascii="Book Antiqua" w:hAnsi="Book Antiqua"/>
                <w:sz w:val="20"/>
                <w:szCs w:val="20"/>
                <w:lang w:val="en-US"/>
              </w:rPr>
              <w:t>of</w:t>
            </w:r>
            <w:r>
              <w:rPr>
                <w:rFonts w:ascii="Book Antiqua" w:hAnsi="Book Antiqua"/>
                <w:sz w:val="20"/>
                <w:szCs w:val="20"/>
                <w:lang w:val="en-US"/>
              </w:rPr>
              <w:t xml:space="preserve"> technological innovations that allow us to </w:t>
            </w:r>
            <w:r w:rsidRPr="007061E3">
              <w:rPr>
                <w:rFonts w:ascii="Book Antiqua" w:hAnsi="Book Antiqua"/>
                <w:sz w:val="20"/>
                <w:szCs w:val="20"/>
                <w:lang w:val="en-US"/>
              </w:rPr>
              <w:t>be more efficient and effective, improving the</w:t>
            </w:r>
          </w:p>
          <w:p w14:paraId="19557501" w14:textId="6802CB79" w:rsidR="00F6284A" w:rsidRPr="008F6E85" w:rsidRDefault="00F6284A" w:rsidP="007061E3">
            <w:pPr>
              <w:snapToGrid w:val="0"/>
              <w:spacing w:after="80" w:line="276" w:lineRule="auto"/>
              <w:rPr>
                <w:rFonts w:ascii="Book Antiqua" w:hAnsi="Book Antiqua"/>
                <w:sz w:val="20"/>
                <w:szCs w:val="20"/>
                <w:lang w:val="en-US"/>
              </w:rPr>
            </w:pPr>
            <w:r>
              <w:rPr>
                <w:rFonts w:ascii="Book Antiqua" w:hAnsi="Book Antiqua"/>
                <w:sz w:val="20"/>
                <w:szCs w:val="20"/>
                <w:lang w:val="en-US"/>
              </w:rPr>
              <w:t xml:space="preserve">working conditions of our </w:t>
            </w:r>
            <w:r w:rsidRPr="007061E3">
              <w:rPr>
                <w:rFonts w:ascii="Book Antiqua" w:hAnsi="Book Antiqua"/>
                <w:sz w:val="20"/>
                <w:szCs w:val="20"/>
                <w:lang w:val="en-US"/>
              </w:rPr>
              <w:t>technicians.</w:t>
            </w:r>
          </w:p>
        </w:tc>
        <w:tc>
          <w:tcPr>
            <w:tcW w:w="6804" w:type="dxa"/>
            <w:vAlign w:val="center"/>
          </w:tcPr>
          <w:p w14:paraId="7E766866" w14:textId="1C8B1136" w:rsidR="00F6284A" w:rsidRPr="007061E3" w:rsidRDefault="00F6284A" w:rsidP="007061E3">
            <w:pPr>
              <w:snapToGrid w:val="0"/>
              <w:spacing w:after="80" w:line="276" w:lineRule="auto"/>
              <w:jc w:val="center"/>
              <w:rPr>
                <w:rFonts w:ascii="Book Antiqua" w:hAnsi="Book Antiqua"/>
                <w:sz w:val="20"/>
                <w:szCs w:val="20"/>
                <w:lang w:val="en-US"/>
              </w:rPr>
            </w:pPr>
            <w:r>
              <w:rPr>
                <w:rFonts w:ascii="Book Antiqua" w:hAnsi="Book Antiqua"/>
                <w:sz w:val="20"/>
                <w:szCs w:val="20"/>
                <w:lang w:val="en-US"/>
              </w:rPr>
              <w:lastRenderedPageBreak/>
              <w:t>–</w:t>
            </w:r>
          </w:p>
        </w:tc>
      </w:tr>
      <w:tr w:rsidR="00F6284A" w:rsidRPr="00846BF6" w14:paraId="1CD499A8" w14:textId="77777777" w:rsidTr="00F6284A">
        <w:tc>
          <w:tcPr>
            <w:tcW w:w="1945" w:type="dxa"/>
            <w:vAlign w:val="center"/>
          </w:tcPr>
          <w:p w14:paraId="175B726B" w14:textId="3B69CBDA" w:rsidR="00F6284A" w:rsidRPr="008F6E85" w:rsidRDefault="00F6284A" w:rsidP="009634FD">
            <w:pPr>
              <w:snapToGrid w:val="0"/>
              <w:spacing w:after="80" w:line="276" w:lineRule="auto"/>
              <w:rPr>
                <w:rFonts w:ascii="Book Antiqua" w:hAnsi="Book Antiqua"/>
                <w:sz w:val="20"/>
                <w:szCs w:val="20"/>
                <w:lang w:val="en-US"/>
              </w:rPr>
            </w:pPr>
            <w:r w:rsidRPr="008F6E85">
              <w:rPr>
                <w:rFonts w:ascii="Book Antiqua" w:hAnsi="Book Antiqua"/>
                <w:sz w:val="20"/>
                <w:szCs w:val="20"/>
                <w:lang w:val="en-US"/>
              </w:rPr>
              <w:lastRenderedPageBreak/>
              <w:t>Circular economy projects</w:t>
            </w:r>
          </w:p>
        </w:tc>
        <w:tc>
          <w:tcPr>
            <w:tcW w:w="6561" w:type="dxa"/>
            <w:vAlign w:val="center"/>
          </w:tcPr>
          <w:p w14:paraId="10EE682F" w14:textId="3E911EA7" w:rsidR="00F6284A" w:rsidRPr="008F6E85" w:rsidRDefault="00F6284A" w:rsidP="009634FD">
            <w:pPr>
              <w:snapToGrid w:val="0"/>
              <w:spacing w:after="80" w:line="276" w:lineRule="auto"/>
              <w:rPr>
                <w:rFonts w:ascii="Book Antiqua" w:hAnsi="Book Antiqua"/>
                <w:sz w:val="20"/>
                <w:szCs w:val="20"/>
                <w:lang w:val="en-US"/>
              </w:rPr>
            </w:pPr>
            <w:r>
              <w:rPr>
                <w:rFonts w:ascii="Book Antiqua" w:hAnsi="Book Antiqua"/>
                <w:sz w:val="20"/>
                <w:szCs w:val="20"/>
                <w:lang w:val="en-US"/>
              </w:rPr>
              <w:t>Education project: the business plan competition of sustainable energy and the circular economy</w:t>
            </w:r>
          </w:p>
        </w:tc>
        <w:tc>
          <w:tcPr>
            <w:tcW w:w="6804" w:type="dxa"/>
            <w:vAlign w:val="center"/>
          </w:tcPr>
          <w:p w14:paraId="0FDFB1EC" w14:textId="44F44DC4" w:rsidR="00F6284A" w:rsidRPr="009634FD" w:rsidRDefault="00F6284A" w:rsidP="009634FD">
            <w:pPr>
              <w:pStyle w:val="Default"/>
              <w:rPr>
                <w:rFonts w:ascii="Book Antiqua" w:eastAsia="Times New Roman" w:hAnsi="Book Antiqua" w:cs="Times New Roman"/>
                <w:color w:val="auto"/>
                <w:sz w:val="20"/>
                <w:szCs w:val="20"/>
                <w:lang w:val="en-US" w:eastAsia="it-IT"/>
              </w:rPr>
            </w:pPr>
            <w:r w:rsidRPr="009634FD">
              <w:rPr>
                <w:rFonts w:ascii="Book Antiqua" w:eastAsia="Times New Roman" w:hAnsi="Book Antiqua" w:cs="Times New Roman"/>
                <w:color w:val="auto"/>
                <w:sz w:val="20"/>
                <w:szCs w:val="20"/>
                <w:lang w:val="en-US" w:eastAsia="it-IT"/>
              </w:rPr>
              <w:t xml:space="preserve">The 2019-2021 three-year cooperation agreement for the transition to the Circular Economy Project: </w:t>
            </w:r>
          </w:p>
          <w:p w14:paraId="251F97A3" w14:textId="29230C9A" w:rsidR="00F6284A" w:rsidRPr="00B37895" w:rsidRDefault="00F6284A" w:rsidP="009634FD">
            <w:pPr>
              <w:pStyle w:val="Default"/>
              <w:rPr>
                <w:rFonts w:ascii="Book Antiqua" w:hAnsi="Book Antiqua"/>
                <w:sz w:val="20"/>
                <w:szCs w:val="20"/>
              </w:rPr>
            </w:pPr>
            <w:r w:rsidRPr="009634FD">
              <w:rPr>
                <w:rFonts w:ascii="Book Antiqua" w:eastAsia="Times New Roman" w:hAnsi="Book Antiqua" w:cs="Times New Roman"/>
                <w:color w:val="auto"/>
                <w:sz w:val="20"/>
                <w:szCs w:val="20"/>
                <w:lang w:val="en-US" w:eastAsia="it-IT"/>
              </w:rPr>
              <w:t>promoting the princip</w:t>
            </w:r>
            <w:r>
              <w:rPr>
                <w:rFonts w:ascii="Book Antiqua" w:eastAsia="Times New Roman" w:hAnsi="Book Antiqua" w:cs="Times New Roman"/>
                <w:color w:val="auto"/>
                <w:sz w:val="20"/>
                <w:szCs w:val="20"/>
                <w:lang w:val="en-US" w:eastAsia="it-IT"/>
              </w:rPr>
              <w:t xml:space="preserve">les of the new economic model; </w:t>
            </w:r>
            <w:r w:rsidRPr="009634FD">
              <w:rPr>
                <w:rFonts w:ascii="Book Antiqua" w:eastAsia="Times New Roman" w:hAnsi="Book Antiqua" w:cs="Times New Roman"/>
                <w:color w:val="auto"/>
                <w:sz w:val="20"/>
                <w:szCs w:val="20"/>
                <w:lang w:val="en-US" w:eastAsia="it-IT"/>
              </w:rPr>
              <w:t>contributing to the creat</w:t>
            </w:r>
            <w:r>
              <w:rPr>
                <w:rFonts w:ascii="Book Antiqua" w:eastAsia="Times New Roman" w:hAnsi="Book Antiqua" w:cs="Times New Roman"/>
                <w:color w:val="auto"/>
                <w:sz w:val="20"/>
                <w:szCs w:val="20"/>
                <w:lang w:val="en-US" w:eastAsia="it-IT"/>
              </w:rPr>
              <w:t>ion of business opportunities; c</w:t>
            </w:r>
            <w:r w:rsidRPr="009634FD">
              <w:rPr>
                <w:rFonts w:ascii="Book Antiqua" w:eastAsia="Times New Roman" w:hAnsi="Book Antiqua" w:cs="Times New Roman"/>
                <w:color w:val="auto"/>
                <w:sz w:val="20"/>
                <w:szCs w:val="20"/>
                <w:lang w:val="en-US" w:eastAsia="it-IT"/>
              </w:rPr>
              <w:t xml:space="preserve">reating value and growth through Open Innovation initiatives </w:t>
            </w:r>
            <w:proofErr w:type="spellStart"/>
            <w:r w:rsidRPr="009634FD">
              <w:rPr>
                <w:rFonts w:ascii="Book Antiqua" w:eastAsia="Times New Roman" w:hAnsi="Book Antiqua" w:cs="Times New Roman"/>
                <w:color w:val="auto"/>
                <w:sz w:val="20"/>
                <w:szCs w:val="20"/>
                <w:lang w:val="en-US" w:eastAsia="it-IT"/>
              </w:rPr>
              <w:t>organised</w:t>
            </w:r>
            <w:proofErr w:type="spellEnd"/>
            <w:r w:rsidRPr="009634FD">
              <w:rPr>
                <w:rFonts w:ascii="Book Antiqua" w:eastAsia="Times New Roman" w:hAnsi="Book Antiqua" w:cs="Times New Roman"/>
                <w:color w:val="auto"/>
                <w:sz w:val="20"/>
                <w:szCs w:val="20"/>
                <w:lang w:val="en-US" w:eastAsia="it-IT"/>
              </w:rPr>
              <w:t xml:space="preserve"> between start-ups and companies, as well as with universities and institutions </w:t>
            </w:r>
          </w:p>
        </w:tc>
      </w:tr>
      <w:tr w:rsidR="00F6284A" w:rsidRPr="008F6E85" w14:paraId="4142B0B4" w14:textId="77777777" w:rsidTr="00F6284A">
        <w:tc>
          <w:tcPr>
            <w:tcW w:w="1945" w:type="dxa"/>
            <w:vAlign w:val="center"/>
          </w:tcPr>
          <w:p w14:paraId="7CF8F50C" w14:textId="71EB227B" w:rsidR="00F6284A" w:rsidRPr="008F6E85" w:rsidRDefault="00F6284A" w:rsidP="009634FD">
            <w:pPr>
              <w:snapToGrid w:val="0"/>
              <w:spacing w:after="80" w:line="276" w:lineRule="auto"/>
              <w:rPr>
                <w:rFonts w:ascii="Book Antiqua" w:hAnsi="Book Antiqua"/>
                <w:sz w:val="20"/>
                <w:szCs w:val="20"/>
                <w:lang w:val="en-US"/>
              </w:rPr>
            </w:pPr>
            <w:r>
              <w:rPr>
                <w:rFonts w:ascii="Book Antiqua" w:hAnsi="Book Antiqua"/>
                <w:sz w:val="20"/>
                <w:szCs w:val="20"/>
                <w:lang w:val="en-US"/>
              </w:rPr>
              <w:t xml:space="preserve">Supplier environmental assessment </w:t>
            </w:r>
          </w:p>
        </w:tc>
        <w:tc>
          <w:tcPr>
            <w:tcW w:w="6561" w:type="dxa"/>
            <w:vAlign w:val="center"/>
          </w:tcPr>
          <w:p w14:paraId="2CBDF6AA" w14:textId="35842B07" w:rsidR="00F6284A" w:rsidRPr="008F6E85" w:rsidRDefault="00F6284A" w:rsidP="009634FD">
            <w:pPr>
              <w:snapToGrid w:val="0"/>
              <w:spacing w:after="80" w:line="276" w:lineRule="auto"/>
              <w:rPr>
                <w:rFonts w:ascii="Book Antiqua" w:hAnsi="Book Antiqua"/>
                <w:sz w:val="20"/>
                <w:szCs w:val="20"/>
                <w:lang w:val="en-US"/>
              </w:rPr>
            </w:pPr>
            <w:r w:rsidRPr="009634FD">
              <w:rPr>
                <w:rFonts w:ascii="Book Antiqua" w:hAnsi="Book Antiqua"/>
                <w:sz w:val="20"/>
                <w:szCs w:val="20"/>
                <w:lang w:val="en-US"/>
              </w:rPr>
              <w:t xml:space="preserve">qualified suppliers based on HSE parameters </w:t>
            </w:r>
          </w:p>
        </w:tc>
        <w:tc>
          <w:tcPr>
            <w:tcW w:w="6804" w:type="dxa"/>
            <w:vAlign w:val="center"/>
          </w:tcPr>
          <w:p w14:paraId="0EACA995" w14:textId="31CA8A33" w:rsidR="00F6284A" w:rsidRPr="009634FD" w:rsidRDefault="00F6284A" w:rsidP="009634FD">
            <w:pPr>
              <w:snapToGrid w:val="0"/>
              <w:spacing w:after="80" w:line="276" w:lineRule="auto"/>
              <w:jc w:val="center"/>
              <w:rPr>
                <w:rFonts w:ascii="Book Antiqua" w:hAnsi="Book Antiqua"/>
                <w:sz w:val="20"/>
                <w:szCs w:val="20"/>
                <w:lang w:val="en-US"/>
              </w:rPr>
            </w:pPr>
            <w:r>
              <w:rPr>
                <w:rFonts w:ascii="Book Antiqua" w:hAnsi="Book Antiqua"/>
                <w:sz w:val="20"/>
                <w:szCs w:val="20"/>
                <w:lang w:val="en-US"/>
              </w:rPr>
              <w:t>–</w:t>
            </w:r>
          </w:p>
        </w:tc>
      </w:tr>
      <w:tr w:rsidR="00F6284A" w:rsidRPr="00846BF6" w14:paraId="5D9AB83D" w14:textId="77777777" w:rsidTr="00F6284A">
        <w:tc>
          <w:tcPr>
            <w:tcW w:w="1945" w:type="dxa"/>
            <w:vAlign w:val="center"/>
          </w:tcPr>
          <w:p w14:paraId="1F47012D" w14:textId="5DFC763C" w:rsidR="00F6284A" w:rsidRPr="008F6E85" w:rsidRDefault="00F6284A" w:rsidP="009634FD">
            <w:pPr>
              <w:snapToGrid w:val="0"/>
              <w:spacing w:after="80" w:line="276" w:lineRule="auto"/>
              <w:rPr>
                <w:rFonts w:ascii="Book Antiqua" w:hAnsi="Book Antiqua"/>
                <w:sz w:val="20"/>
                <w:szCs w:val="20"/>
                <w:lang w:val="en-US"/>
              </w:rPr>
            </w:pPr>
            <w:r w:rsidRPr="008F6E85">
              <w:rPr>
                <w:rFonts w:ascii="Book Antiqua" w:hAnsi="Book Antiqua"/>
                <w:sz w:val="20"/>
                <w:szCs w:val="20"/>
                <w:lang w:val="en-US"/>
              </w:rPr>
              <w:t>Protecting and managing biodiversity</w:t>
            </w:r>
          </w:p>
        </w:tc>
        <w:tc>
          <w:tcPr>
            <w:tcW w:w="6561" w:type="dxa"/>
            <w:vAlign w:val="center"/>
          </w:tcPr>
          <w:p w14:paraId="7FD0A3B1" w14:textId="253814F1" w:rsidR="00F6284A" w:rsidRPr="008F6E85" w:rsidRDefault="00F6284A" w:rsidP="00890375">
            <w:pPr>
              <w:autoSpaceDE w:val="0"/>
              <w:autoSpaceDN w:val="0"/>
              <w:adjustRightInd w:val="0"/>
              <w:rPr>
                <w:rFonts w:ascii="Book Antiqua" w:hAnsi="Book Antiqua"/>
                <w:sz w:val="20"/>
                <w:szCs w:val="20"/>
                <w:lang w:val="en-US"/>
              </w:rPr>
            </w:pPr>
            <w:r w:rsidRPr="00890375">
              <w:rPr>
                <w:rFonts w:ascii="Book Antiqua" w:hAnsi="Book Antiqua"/>
                <w:sz w:val="20"/>
                <w:szCs w:val="20"/>
                <w:lang w:val="en-US"/>
              </w:rPr>
              <w:t>Thanks to the partnership with ERG and the</w:t>
            </w:r>
            <w:r>
              <w:rPr>
                <w:rFonts w:ascii="Book Antiqua" w:hAnsi="Book Antiqua"/>
                <w:sz w:val="20"/>
                <w:szCs w:val="20"/>
                <w:lang w:val="en-US"/>
              </w:rPr>
              <w:t xml:space="preserve"> </w:t>
            </w:r>
            <w:r w:rsidRPr="00890375">
              <w:rPr>
                <w:rFonts w:ascii="Book Antiqua" w:hAnsi="Book Antiqua"/>
                <w:sz w:val="20"/>
                <w:szCs w:val="20"/>
                <w:lang w:val="en-US"/>
              </w:rPr>
              <w:t>province of Terni, the WWF takes care of the</w:t>
            </w:r>
            <w:r>
              <w:rPr>
                <w:rFonts w:ascii="Book Antiqua" w:hAnsi="Book Antiqua"/>
                <w:sz w:val="20"/>
                <w:szCs w:val="20"/>
                <w:lang w:val="en-US"/>
              </w:rPr>
              <w:t xml:space="preserve"> </w:t>
            </w:r>
            <w:r w:rsidRPr="00890375">
              <w:rPr>
                <w:rFonts w:ascii="Book Antiqua" w:hAnsi="Book Antiqua"/>
                <w:sz w:val="20"/>
                <w:szCs w:val="20"/>
                <w:lang w:val="en-US"/>
              </w:rPr>
              <w:t xml:space="preserve">Oasis of </w:t>
            </w:r>
            <w:proofErr w:type="spellStart"/>
            <w:r w:rsidRPr="00890375">
              <w:rPr>
                <w:rFonts w:ascii="Book Antiqua" w:hAnsi="Book Antiqua"/>
                <w:sz w:val="20"/>
                <w:szCs w:val="20"/>
                <w:lang w:val="en-US"/>
              </w:rPr>
              <w:t>Alviano</w:t>
            </w:r>
            <w:proofErr w:type="spellEnd"/>
            <w:r w:rsidRPr="00890375">
              <w:rPr>
                <w:rFonts w:ascii="Book Antiqua" w:hAnsi="Book Antiqua"/>
                <w:sz w:val="20"/>
                <w:szCs w:val="20"/>
                <w:lang w:val="en-US"/>
              </w:rPr>
              <w:t xml:space="preserve">, opened in 1990, </w:t>
            </w:r>
            <w:proofErr w:type="spellStart"/>
            <w:r w:rsidRPr="00890375">
              <w:rPr>
                <w:rFonts w:ascii="Book Antiqua" w:hAnsi="Book Antiqua"/>
                <w:sz w:val="20"/>
                <w:szCs w:val="20"/>
                <w:lang w:val="en-US"/>
              </w:rPr>
              <w:t>verseeing</w:t>
            </w:r>
            <w:proofErr w:type="spellEnd"/>
            <w:r w:rsidRPr="00890375">
              <w:rPr>
                <w:rFonts w:ascii="Book Antiqua" w:hAnsi="Book Antiqua"/>
                <w:sz w:val="20"/>
                <w:szCs w:val="20"/>
                <w:lang w:val="en-US"/>
              </w:rPr>
              <w:t xml:space="preserve"> its</w:t>
            </w:r>
            <w:r>
              <w:rPr>
                <w:rFonts w:ascii="Book Antiqua" w:hAnsi="Book Antiqua"/>
                <w:sz w:val="20"/>
                <w:szCs w:val="20"/>
                <w:lang w:val="en-US"/>
              </w:rPr>
              <w:t xml:space="preserve"> </w:t>
            </w:r>
            <w:r w:rsidRPr="00890375">
              <w:rPr>
                <w:rFonts w:ascii="Book Antiqua" w:hAnsi="Book Antiqua"/>
                <w:sz w:val="20"/>
                <w:szCs w:val="20"/>
                <w:lang w:val="en-US"/>
              </w:rPr>
              <w:t>maintenance and guaranteeing the best possible</w:t>
            </w:r>
            <w:r>
              <w:rPr>
                <w:rFonts w:ascii="Book Antiqua" w:hAnsi="Book Antiqua"/>
                <w:sz w:val="20"/>
                <w:szCs w:val="20"/>
                <w:lang w:val="en-US"/>
              </w:rPr>
              <w:t xml:space="preserve"> </w:t>
            </w:r>
            <w:r w:rsidRPr="00890375">
              <w:rPr>
                <w:rFonts w:ascii="Book Antiqua" w:hAnsi="Book Antiqua"/>
                <w:sz w:val="20"/>
                <w:szCs w:val="20"/>
                <w:lang w:val="en-US"/>
              </w:rPr>
              <w:t>home for the various species.</w:t>
            </w:r>
          </w:p>
        </w:tc>
        <w:tc>
          <w:tcPr>
            <w:tcW w:w="6804" w:type="dxa"/>
            <w:vAlign w:val="center"/>
          </w:tcPr>
          <w:p w14:paraId="0224BC15" w14:textId="2B66F28E" w:rsidR="00F6284A" w:rsidRPr="00890375" w:rsidRDefault="00F6284A" w:rsidP="009634FD">
            <w:pPr>
              <w:snapToGrid w:val="0"/>
              <w:spacing w:after="80" w:line="276" w:lineRule="auto"/>
              <w:rPr>
                <w:rFonts w:ascii="Book Antiqua" w:hAnsi="Book Antiqua"/>
                <w:sz w:val="20"/>
                <w:szCs w:val="20"/>
                <w:lang w:val="en-GB"/>
              </w:rPr>
            </w:pPr>
            <w:r w:rsidRPr="00890375">
              <w:rPr>
                <w:rFonts w:ascii="Book Antiqua" w:hAnsi="Book Antiqua"/>
                <w:sz w:val="20"/>
                <w:szCs w:val="20"/>
                <w:lang w:val="en-US"/>
              </w:rPr>
              <w:t>Charity fund in 2018 to support actions on protecting the environment and biodiversity</w:t>
            </w:r>
          </w:p>
        </w:tc>
      </w:tr>
      <w:tr w:rsidR="00F6284A" w:rsidRPr="00846BF6" w14:paraId="4119A696" w14:textId="77777777" w:rsidTr="00F6284A">
        <w:tc>
          <w:tcPr>
            <w:tcW w:w="1945" w:type="dxa"/>
            <w:vAlign w:val="center"/>
          </w:tcPr>
          <w:p w14:paraId="6082D871" w14:textId="16634F35" w:rsidR="00F6284A" w:rsidRPr="008F6E85" w:rsidRDefault="00F6284A" w:rsidP="009634FD">
            <w:pPr>
              <w:snapToGrid w:val="0"/>
              <w:spacing w:after="80" w:line="276" w:lineRule="auto"/>
              <w:rPr>
                <w:rFonts w:ascii="Book Antiqua" w:hAnsi="Book Antiqua"/>
                <w:sz w:val="20"/>
                <w:szCs w:val="20"/>
                <w:lang w:val="en-US"/>
              </w:rPr>
            </w:pPr>
            <w:r w:rsidRPr="008F6E85">
              <w:rPr>
                <w:rFonts w:ascii="Book Antiqua" w:hAnsi="Book Antiqua"/>
                <w:sz w:val="20"/>
                <w:szCs w:val="20"/>
                <w:lang w:val="en-US"/>
              </w:rPr>
              <w:t xml:space="preserve">Loans and service for green culture </w:t>
            </w:r>
          </w:p>
        </w:tc>
        <w:tc>
          <w:tcPr>
            <w:tcW w:w="6561" w:type="dxa"/>
            <w:vAlign w:val="center"/>
          </w:tcPr>
          <w:p w14:paraId="7B587223" w14:textId="77777777" w:rsidR="00F6284A" w:rsidRPr="008F6E85" w:rsidRDefault="00F6284A" w:rsidP="009634FD">
            <w:pPr>
              <w:snapToGrid w:val="0"/>
              <w:spacing w:after="80" w:line="276" w:lineRule="auto"/>
              <w:rPr>
                <w:rFonts w:ascii="Book Antiqua" w:hAnsi="Book Antiqua"/>
                <w:sz w:val="20"/>
                <w:szCs w:val="20"/>
                <w:lang w:val="en-US"/>
              </w:rPr>
            </w:pPr>
          </w:p>
        </w:tc>
        <w:tc>
          <w:tcPr>
            <w:tcW w:w="6804" w:type="dxa"/>
            <w:vAlign w:val="center"/>
          </w:tcPr>
          <w:p w14:paraId="0B1FA34D" w14:textId="2443FC16" w:rsidR="00F6284A" w:rsidRPr="00315EA7" w:rsidRDefault="00F6284A" w:rsidP="00315EA7">
            <w:pPr>
              <w:snapToGrid w:val="0"/>
              <w:spacing w:after="80" w:line="276" w:lineRule="auto"/>
              <w:rPr>
                <w:rFonts w:ascii="Book Antiqua" w:hAnsi="Book Antiqua"/>
                <w:sz w:val="20"/>
                <w:szCs w:val="20"/>
                <w:lang w:val="en-GB"/>
              </w:rPr>
            </w:pPr>
            <w:r w:rsidRPr="00315EA7">
              <w:rPr>
                <w:rFonts w:ascii="Book Antiqua" w:hAnsi="Book Antiqua"/>
                <w:sz w:val="20"/>
                <w:szCs w:val="20"/>
                <w:lang w:val="en-US"/>
              </w:rPr>
              <w:t>In 2018, the Group disbu</w:t>
            </w:r>
            <w:r>
              <w:rPr>
                <w:rFonts w:ascii="Book Antiqua" w:hAnsi="Book Antiqua"/>
                <w:sz w:val="20"/>
                <w:szCs w:val="20"/>
                <w:lang w:val="en-US"/>
              </w:rPr>
              <w:t xml:space="preserve">rsed 1,922 million euro to the </w:t>
            </w:r>
            <w:r w:rsidRPr="00315EA7">
              <w:rPr>
                <w:rFonts w:ascii="Book Antiqua" w:hAnsi="Book Antiqua"/>
                <w:sz w:val="20"/>
                <w:szCs w:val="20"/>
                <w:lang w:val="en-US"/>
              </w:rPr>
              <w:t>green economy (over 18 billion between 2010 and 2018), equal to 3.2% of all Group loans.</w:t>
            </w:r>
            <w:r>
              <w:rPr>
                <w:rFonts w:ascii="Book Antiqua" w:hAnsi="Book Antiqua"/>
                <w:sz w:val="20"/>
                <w:szCs w:val="20"/>
                <w:lang w:val="en-US"/>
              </w:rPr>
              <w:t xml:space="preserve"> </w:t>
            </w:r>
            <w:r w:rsidRPr="00315EA7">
              <w:rPr>
                <w:rFonts w:ascii="Book Antiqua" w:hAnsi="Book Antiqua"/>
                <w:sz w:val="20"/>
                <w:szCs w:val="20"/>
                <w:lang w:val="en-US"/>
              </w:rPr>
              <w:t>In 2017, Intesa Sanpaolo was the first Italian bank to issue a 500-million-euro Green Bond connected with environmental sustainability projects</w:t>
            </w:r>
          </w:p>
        </w:tc>
      </w:tr>
      <w:tr w:rsidR="00F6284A" w:rsidRPr="00846BF6" w14:paraId="3596CF63" w14:textId="77777777" w:rsidTr="00F6284A">
        <w:tc>
          <w:tcPr>
            <w:tcW w:w="1945" w:type="dxa"/>
            <w:vAlign w:val="center"/>
          </w:tcPr>
          <w:p w14:paraId="1D9AC4BB" w14:textId="1C76087F" w:rsidR="00F6284A" w:rsidRPr="008F6E85" w:rsidRDefault="00F6284A" w:rsidP="009634FD">
            <w:pPr>
              <w:snapToGrid w:val="0"/>
              <w:spacing w:after="80" w:line="276" w:lineRule="auto"/>
              <w:rPr>
                <w:rFonts w:ascii="Book Antiqua" w:hAnsi="Book Antiqua"/>
                <w:sz w:val="20"/>
                <w:szCs w:val="20"/>
                <w:lang w:val="en-US"/>
              </w:rPr>
            </w:pPr>
            <w:r w:rsidRPr="008F6E85">
              <w:rPr>
                <w:rFonts w:ascii="Book Antiqua" w:hAnsi="Book Antiqua"/>
                <w:sz w:val="20"/>
                <w:szCs w:val="20"/>
                <w:lang w:val="en-US"/>
              </w:rPr>
              <w:t>Green culture and initiatives</w:t>
            </w:r>
          </w:p>
        </w:tc>
        <w:tc>
          <w:tcPr>
            <w:tcW w:w="6561" w:type="dxa"/>
            <w:vAlign w:val="center"/>
          </w:tcPr>
          <w:p w14:paraId="7747D03C" w14:textId="7EADDF3A" w:rsidR="00F6284A" w:rsidRPr="00315EA7" w:rsidRDefault="00F6284A" w:rsidP="00315EA7">
            <w:pPr>
              <w:autoSpaceDE w:val="0"/>
              <w:autoSpaceDN w:val="0"/>
              <w:adjustRightInd w:val="0"/>
              <w:rPr>
                <w:rFonts w:ascii="Book Antiqua" w:hAnsi="Book Antiqua"/>
                <w:sz w:val="20"/>
                <w:szCs w:val="20"/>
              </w:rPr>
            </w:pPr>
            <w:r w:rsidRPr="00315EA7">
              <w:rPr>
                <w:rFonts w:ascii="Book Antiqua" w:hAnsi="Book Antiqua"/>
                <w:sz w:val="20"/>
                <w:szCs w:val="20"/>
              </w:rPr>
              <w:t xml:space="preserve">Educational </w:t>
            </w:r>
            <w:proofErr w:type="spellStart"/>
            <w:r w:rsidRPr="00315EA7">
              <w:rPr>
                <w:rFonts w:ascii="Book Antiqua" w:hAnsi="Book Antiqua"/>
                <w:sz w:val="20"/>
                <w:szCs w:val="20"/>
              </w:rPr>
              <w:t>projects</w:t>
            </w:r>
            <w:proofErr w:type="spellEnd"/>
            <w:r w:rsidRPr="00315EA7">
              <w:rPr>
                <w:rFonts w:ascii="Book Antiqua" w:hAnsi="Book Antiqua"/>
                <w:sz w:val="20"/>
                <w:szCs w:val="20"/>
              </w:rPr>
              <w:t xml:space="preserve"> (Vai col </w:t>
            </w:r>
            <w:proofErr w:type="gramStart"/>
            <w:r w:rsidRPr="00315EA7">
              <w:rPr>
                <w:rFonts w:ascii="Book Antiqua" w:hAnsi="Book Antiqua"/>
                <w:sz w:val="20"/>
                <w:szCs w:val="20"/>
              </w:rPr>
              <w:t>Vento!,</w:t>
            </w:r>
            <w:proofErr w:type="gramEnd"/>
            <w:r w:rsidRPr="00315EA7">
              <w:rPr>
                <w:rFonts w:ascii="Book Antiqua" w:hAnsi="Book Antiqua"/>
                <w:sz w:val="20"/>
                <w:szCs w:val="20"/>
              </w:rPr>
              <w:t xml:space="preserve"> A tutta Acqua!, Progetto Scuola, </w:t>
            </w:r>
            <w:proofErr w:type="spellStart"/>
            <w:r w:rsidRPr="00315EA7">
              <w:rPr>
                <w:rFonts w:ascii="Book Antiqua" w:hAnsi="Book Antiqua"/>
                <w:sz w:val="20"/>
                <w:szCs w:val="20"/>
              </w:rPr>
              <w:t>Electricity</w:t>
            </w:r>
            <w:proofErr w:type="spellEnd"/>
            <w:r w:rsidRPr="00315EA7">
              <w:rPr>
                <w:rFonts w:ascii="Book Antiqua" w:hAnsi="Book Antiqua"/>
                <w:sz w:val="20"/>
                <w:szCs w:val="20"/>
              </w:rPr>
              <w:t xml:space="preserve"> </w:t>
            </w:r>
            <w:proofErr w:type="spellStart"/>
            <w:r w:rsidRPr="00315EA7">
              <w:rPr>
                <w:rFonts w:ascii="Book Antiqua" w:hAnsi="Book Antiqua"/>
                <w:sz w:val="20"/>
                <w:szCs w:val="20"/>
              </w:rPr>
              <w:t>Day</w:t>
            </w:r>
            <w:proofErr w:type="spellEnd"/>
            <w:r w:rsidRPr="00315EA7">
              <w:rPr>
                <w:rFonts w:ascii="Book Antiqua" w:hAnsi="Book Antiqua"/>
                <w:sz w:val="20"/>
                <w:szCs w:val="20"/>
              </w:rPr>
              <w:t>).</w:t>
            </w:r>
          </w:p>
          <w:p w14:paraId="7206B828" w14:textId="21A0EA65" w:rsidR="00F6284A" w:rsidRPr="008F6E85" w:rsidRDefault="00F6284A" w:rsidP="00315EA7">
            <w:pPr>
              <w:snapToGrid w:val="0"/>
              <w:spacing w:after="80" w:line="276" w:lineRule="auto"/>
              <w:rPr>
                <w:rFonts w:ascii="Book Antiqua" w:hAnsi="Book Antiqua"/>
                <w:sz w:val="20"/>
                <w:szCs w:val="20"/>
                <w:lang w:val="en-US"/>
              </w:rPr>
            </w:pPr>
            <w:r w:rsidRPr="00315EA7">
              <w:rPr>
                <w:rFonts w:ascii="Book Antiqua" w:hAnsi="Book Antiqua"/>
                <w:sz w:val="20"/>
                <w:szCs w:val="20"/>
                <w:lang w:val="en-US"/>
              </w:rPr>
              <w:t xml:space="preserve">Collaboration with Universities (MAGER project, classroom </w:t>
            </w:r>
            <w:r>
              <w:rPr>
                <w:rFonts w:ascii="Book Antiqua" w:hAnsi="Book Antiqua"/>
                <w:sz w:val="20"/>
                <w:szCs w:val="20"/>
                <w:lang w:val="en-US"/>
              </w:rPr>
              <w:t>l</w:t>
            </w:r>
            <w:r w:rsidRPr="00315EA7">
              <w:rPr>
                <w:rFonts w:ascii="Book Antiqua" w:hAnsi="Book Antiqua"/>
                <w:sz w:val="20"/>
                <w:szCs w:val="20"/>
                <w:lang w:val="en-US"/>
              </w:rPr>
              <w:t>essons</w:t>
            </w:r>
          </w:p>
        </w:tc>
        <w:tc>
          <w:tcPr>
            <w:tcW w:w="6804" w:type="dxa"/>
            <w:vAlign w:val="center"/>
          </w:tcPr>
          <w:p w14:paraId="06D3C162" w14:textId="5209D562" w:rsidR="00F6284A" w:rsidRPr="00315EA7" w:rsidRDefault="00F6284A" w:rsidP="009634FD">
            <w:pPr>
              <w:snapToGrid w:val="0"/>
              <w:spacing w:after="80" w:line="276" w:lineRule="auto"/>
              <w:rPr>
                <w:rFonts w:ascii="Book Antiqua" w:hAnsi="Book Antiqua"/>
                <w:sz w:val="20"/>
                <w:szCs w:val="20"/>
                <w:lang w:val="en-US"/>
              </w:rPr>
            </w:pPr>
            <w:r w:rsidRPr="00315EA7">
              <w:rPr>
                <w:rFonts w:ascii="Book Antiqua" w:hAnsi="Book Antiqua"/>
                <w:sz w:val="20"/>
                <w:szCs w:val="20"/>
                <w:lang w:val="en-US"/>
              </w:rPr>
              <w:t>Rules for environmental and energy policy is the spread of the culture of sustainability among employees and customers</w:t>
            </w:r>
            <w:r>
              <w:rPr>
                <w:rFonts w:ascii="Book Antiqua" w:hAnsi="Book Antiqua"/>
                <w:sz w:val="20"/>
                <w:szCs w:val="20"/>
                <w:lang w:val="en-US"/>
              </w:rPr>
              <w:t xml:space="preserve"> – Think Green Bio – Think Green Wine</w:t>
            </w:r>
          </w:p>
        </w:tc>
      </w:tr>
    </w:tbl>
    <w:p w14:paraId="51C581C8" w14:textId="2493BE52" w:rsidR="001D6D53" w:rsidRPr="003971F1" w:rsidRDefault="001D6D53" w:rsidP="00432623">
      <w:pPr>
        <w:rPr>
          <w:rFonts w:ascii="Book Antiqua" w:hAnsi="Book Antiqua"/>
          <w:lang w:val="en-US"/>
        </w:rPr>
      </w:pPr>
    </w:p>
    <w:sectPr w:rsidR="001D6D53" w:rsidRPr="003971F1" w:rsidSect="00183B3B">
      <w:footerReference w:type="default" r:id="rId2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245CC" w14:textId="77777777" w:rsidR="00DB1A0A" w:rsidRDefault="00DB1A0A" w:rsidP="00D12F3D">
      <w:r>
        <w:separator/>
      </w:r>
    </w:p>
  </w:endnote>
  <w:endnote w:type="continuationSeparator" w:id="0">
    <w:p w14:paraId="43318B41" w14:textId="77777777" w:rsidR="00DB1A0A" w:rsidRDefault="00DB1A0A" w:rsidP="00D1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o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387478"/>
      <w:docPartObj>
        <w:docPartGallery w:val="Page Numbers (Bottom of Page)"/>
        <w:docPartUnique/>
      </w:docPartObj>
    </w:sdtPr>
    <w:sdtEndPr/>
    <w:sdtContent>
      <w:p w14:paraId="5333D132" w14:textId="37AE6E65" w:rsidR="00770C7B" w:rsidRPr="004B1497" w:rsidRDefault="00770C7B" w:rsidP="004B1497">
        <w:pPr>
          <w:pStyle w:val="Pidipagina"/>
          <w:jc w:val="right"/>
          <w:rPr>
            <w:rFonts w:ascii="Book Antiqua" w:hAnsi="Book Antiqua"/>
            <w:sz w:val="22"/>
            <w:szCs w:val="22"/>
          </w:rPr>
        </w:pPr>
        <w:r w:rsidRPr="004B1497">
          <w:rPr>
            <w:rFonts w:ascii="Book Antiqua" w:hAnsi="Book Antiqua"/>
            <w:sz w:val="22"/>
            <w:szCs w:val="22"/>
          </w:rPr>
          <w:fldChar w:fldCharType="begin"/>
        </w:r>
        <w:r w:rsidRPr="004B1497">
          <w:rPr>
            <w:rFonts w:ascii="Book Antiqua" w:hAnsi="Book Antiqua"/>
            <w:sz w:val="22"/>
            <w:szCs w:val="22"/>
          </w:rPr>
          <w:instrText>PAGE   \* MERGEFORMAT</w:instrText>
        </w:r>
        <w:r w:rsidRPr="004B1497">
          <w:rPr>
            <w:rFonts w:ascii="Book Antiqua" w:hAnsi="Book Antiqua"/>
            <w:sz w:val="22"/>
            <w:szCs w:val="22"/>
          </w:rPr>
          <w:fldChar w:fldCharType="separate"/>
        </w:r>
        <w:r w:rsidR="00E01841">
          <w:rPr>
            <w:rFonts w:ascii="Book Antiqua" w:hAnsi="Book Antiqua"/>
            <w:noProof/>
            <w:sz w:val="22"/>
            <w:szCs w:val="22"/>
          </w:rPr>
          <w:t>16</w:t>
        </w:r>
        <w:r w:rsidRPr="004B1497">
          <w:rPr>
            <w:rFonts w:ascii="Book Antiqua" w:hAnsi="Book Antiqua"/>
            <w:sz w:val="22"/>
            <w:szCs w:val="22"/>
          </w:rPr>
          <w:fldChar w:fldCharType="end"/>
        </w:r>
      </w:p>
    </w:sdtContent>
  </w:sdt>
  <w:p w14:paraId="76B4ECA2" w14:textId="77777777" w:rsidR="00770C7B" w:rsidRDefault="00770C7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092752"/>
      <w:docPartObj>
        <w:docPartGallery w:val="Page Numbers (Bottom of Page)"/>
        <w:docPartUnique/>
      </w:docPartObj>
    </w:sdtPr>
    <w:sdtEndPr/>
    <w:sdtContent>
      <w:p w14:paraId="135B836E" w14:textId="2AF737A9" w:rsidR="00770C7B" w:rsidRDefault="00770C7B">
        <w:pPr>
          <w:pStyle w:val="Pidipagina"/>
          <w:jc w:val="right"/>
        </w:pPr>
        <w:r>
          <w:fldChar w:fldCharType="begin"/>
        </w:r>
        <w:r>
          <w:instrText>PAGE   \* MERGEFORMAT</w:instrText>
        </w:r>
        <w:r>
          <w:fldChar w:fldCharType="separate"/>
        </w:r>
        <w:r w:rsidR="00E01841">
          <w:rPr>
            <w:noProof/>
          </w:rPr>
          <w:t>13</w:t>
        </w:r>
        <w:r>
          <w:fldChar w:fldCharType="end"/>
        </w:r>
      </w:p>
    </w:sdtContent>
  </w:sdt>
  <w:p w14:paraId="38CDD2BA" w14:textId="77777777" w:rsidR="00770C7B" w:rsidRDefault="00770C7B">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85178"/>
      <w:docPartObj>
        <w:docPartGallery w:val="Page Numbers (Bottom of Page)"/>
        <w:docPartUnique/>
      </w:docPartObj>
    </w:sdtPr>
    <w:sdtEndPr/>
    <w:sdtContent>
      <w:p w14:paraId="5436C50B" w14:textId="013E8352" w:rsidR="00770C7B" w:rsidRDefault="00770C7B">
        <w:pPr>
          <w:pStyle w:val="Pidipagina"/>
          <w:jc w:val="right"/>
        </w:pPr>
        <w:r w:rsidRPr="004B1497">
          <w:rPr>
            <w:rFonts w:ascii="Book Antiqua" w:hAnsi="Book Antiqua"/>
            <w:sz w:val="22"/>
            <w:szCs w:val="22"/>
          </w:rPr>
          <w:fldChar w:fldCharType="begin"/>
        </w:r>
        <w:r w:rsidRPr="004B1497">
          <w:rPr>
            <w:rFonts w:ascii="Book Antiqua" w:hAnsi="Book Antiqua"/>
            <w:sz w:val="22"/>
            <w:szCs w:val="22"/>
          </w:rPr>
          <w:instrText>PAGE   \* MERGEFORMAT</w:instrText>
        </w:r>
        <w:r w:rsidRPr="004B1497">
          <w:rPr>
            <w:rFonts w:ascii="Book Antiqua" w:hAnsi="Book Antiqua"/>
            <w:sz w:val="22"/>
            <w:szCs w:val="22"/>
          </w:rPr>
          <w:fldChar w:fldCharType="separate"/>
        </w:r>
        <w:r w:rsidR="00E01841">
          <w:rPr>
            <w:rFonts w:ascii="Book Antiqua" w:hAnsi="Book Antiqua"/>
            <w:noProof/>
            <w:sz w:val="22"/>
            <w:szCs w:val="22"/>
          </w:rPr>
          <w:t>15</w:t>
        </w:r>
        <w:r w:rsidRPr="004B1497">
          <w:rPr>
            <w:rFonts w:ascii="Book Antiqua" w:hAnsi="Book Antiqua"/>
            <w:sz w:val="22"/>
            <w:szCs w:val="22"/>
          </w:rPr>
          <w:fldChar w:fldCharType="end"/>
        </w:r>
      </w:p>
    </w:sdtContent>
  </w:sdt>
  <w:p w14:paraId="2D2086F4" w14:textId="77777777" w:rsidR="00770C7B" w:rsidRDefault="00770C7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9A2D5" w14:textId="77777777" w:rsidR="00DB1A0A" w:rsidRDefault="00DB1A0A" w:rsidP="00D12F3D">
      <w:r>
        <w:separator/>
      </w:r>
    </w:p>
  </w:footnote>
  <w:footnote w:type="continuationSeparator" w:id="0">
    <w:p w14:paraId="15DAC30D" w14:textId="77777777" w:rsidR="00DB1A0A" w:rsidRDefault="00DB1A0A" w:rsidP="00D12F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0E36"/>
    <w:multiLevelType w:val="multilevel"/>
    <w:tmpl w:val="462C9686"/>
    <w:lvl w:ilvl="0">
      <w:start w:val="1"/>
      <w:numFmt w:val="decimal"/>
      <w:pStyle w:val="Stile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692077"/>
    <w:multiLevelType w:val="multilevel"/>
    <w:tmpl w:val="BF001110"/>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2160" w:hanging="180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abstractNum w:abstractNumId="2" w15:restartNumberingAfterBreak="0">
    <w:nsid w:val="31426CD8"/>
    <w:multiLevelType w:val="hybridMultilevel"/>
    <w:tmpl w:val="A3E4D80C"/>
    <w:lvl w:ilvl="0" w:tplc="5664AC62">
      <w:start w:val="3"/>
      <w:numFmt w:val="bullet"/>
      <w:lvlText w:val="-"/>
      <w:lvlJc w:val="left"/>
      <w:pPr>
        <w:ind w:left="770" w:hanging="360"/>
      </w:pPr>
      <w:rPr>
        <w:rFonts w:ascii="Book Antiqua" w:eastAsia="Times New Roman" w:hAnsi="Book Antiqua" w:cs="Times New Roman"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5BC26CE"/>
    <w:multiLevelType w:val="multilevel"/>
    <w:tmpl w:val="C4F0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61D4A"/>
    <w:multiLevelType w:val="hybridMultilevel"/>
    <w:tmpl w:val="CB3C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B46B4"/>
    <w:multiLevelType w:val="hybridMultilevel"/>
    <w:tmpl w:val="204C77E0"/>
    <w:lvl w:ilvl="0" w:tplc="4B5C776E">
      <w:start w:val="3"/>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50796"/>
    <w:multiLevelType w:val="hybridMultilevel"/>
    <w:tmpl w:val="2CECADA4"/>
    <w:lvl w:ilvl="0" w:tplc="E0E8B592">
      <w:start w:val="3"/>
      <w:numFmt w:val="bullet"/>
      <w:lvlText w:val="-"/>
      <w:lvlJc w:val="left"/>
      <w:pPr>
        <w:ind w:left="410" w:hanging="360"/>
      </w:pPr>
      <w:rPr>
        <w:rFonts w:ascii="Book Antiqua" w:eastAsia="Times New Roman" w:hAnsi="Book Antiqua" w:cs="Times New Roman"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7" w15:restartNumberingAfterBreak="0">
    <w:nsid w:val="5F6043D3"/>
    <w:multiLevelType w:val="hybridMultilevel"/>
    <w:tmpl w:val="4CD606F4"/>
    <w:lvl w:ilvl="0" w:tplc="0332DF48">
      <w:start w:val="3"/>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045DA"/>
    <w:multiLevelType w:val="hybridMultilevel"/>
    <w:tmpl w:val="A79B9A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9DB3A89"/>
    <w:multiLevelType w:val="hybridMultilevel"/>
    <w:tmpl w:val="C3922C0E"/>
    <w:lvl w:ilvl="0" w:tplc="04100001">
      <w:start w:val="2019"/>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424118"/>
    <w:multiLevelType w:val="multilevel"/>
    <w:tmpl w:val="3F60ACAC"/>
    <w:lvl w:ilvl="0">
      <w:start w:val="1"/>
      <w:numFmt w:val="decimal"/>
      <w:pStyle w:val="Titolo2"/>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A60060E"/>
    <w:multiLevelType w:val="multilevel"/>
    <w:tmpl w:val="66A42C7E"/>
    <w:lvl w:ilvl="0">
      <w:start w:val="1"/>
      <w:numFmt w:val="decimal"/>
      <w:pStyle w:val="Monografia"/>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7FBF1BFC"/>
    <w:multiLevelType w:val="multilevel"/>
    <w:tmpl w:val="400A37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1"/>
  </w:num>
  <w:num w:numId="3">
    <w:abstractNumId w:val="1"/>
  </w:num>
  <w:num w:numId="4">
    <w:abstractNumId w:val="1"/>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6"/>
  </w:num>
  <w:num w:numId="14">
    <w:abstractNumId w:val="2"/>
  </w:num>
  <w:num w:numId="15">
    <w:abstractNumId w:val="7"/>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283"/>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E1"/>
    <w:rsid w:val="000056E6"/>
    <w:rsid w:val="00012116"/>
    <w:rsid w:val="00012BA6"/>
    <w:rsid w:val="000145CB"/>
    <w:rsid w:val="000160B1"/>
    <w:rsid w:val="0002517A"/>
    <w:rsid w:val="0006374B"/>
    <w:rsid w:val="000703A6"/>
    <w:rsid w:val="00093322"/>
    <w:rsid w:val="000A3668"/>
    <w:rsid w:val="000A3DF4"/>
    <w:rsid w:val="000B3213"/>
    <w:rsid w:val="000D3221"/>
    <w:rsid w:val="000F1521"/>
    <w:rsid w:val="001002A0"/>
    <w:rsid w:val="00103689"/>
    <w:rsid w:val="00110495"/>
    <w:rsid w:val="00115A55"/>
    <w:rsid w:val="0011685A"/>
    <w:rsid w:val="00137422"/>
    <w:rsid w:val="00153FAB"/>
    <w:rsid w:val="001617E3"/>
    <w:rsid w:val="001665E1"/>
    <w:rsid w:val="001708AE"/>
    <w:rsid w:val="00170FDF"/>
    <w:rsid w:val="00176FB6"/>
    <w:rsid w:val="00183B3B"/>
    <w:rsid w:val="00193670"/>
    <w:rsid w:val="00194F67"/>
    <w:rsid w:val="001A7E70"/>
    <w:rsid w:val="001C2082"/>
    <w:rsid w:val="001D36E8"/>
    <w:rsid w:val="001D6D53"/>
    <w:rsid w:val="001F59B5"/>
    <w:rsid w:val="001F721C"/>
    <w:rsid w:val="002106A7"/>
    <w:rsid w:val="00210BB8"/>
    <w:rsid w:val="0022399F"/>
    <w:rsid w:val="002342C4"/>
    <w:rsid w:val="00236B20"/>
    <w:rsid w:val="00270B0E"/>
    <w:rsid w:val="00271B8C"/>
    <w:rsid w:val="00294E6C"/>
    <w:rsid w:val="002A6210"/>
    <w:rsid w:val="002B2CCA"/>
    <w:rsid w:val="002B371D"/>
    <w:rsid w:val="002B57BB"/>
    <w:rsid w:val="002B7E94"/>
    <w:rsid w:val="002D0C1F"/>
    <w:rsid w:val="002D2DD9"/>
    <w:rsid w:val="002D4805"/>
    <w:rsid w:val="002D5B8E"/>
    <w:rsid w:val="002E63D3"/>
    <w:rsid w:val="00303017"/>
    <w:rsid w:val="00311C72"/>
    <w:rsid w:val="00315EA7"/>
    <w:rsid w:val="00327434"/>
    <w:rsid w:val="00362E1A"/>
    <w:rsid w:val="00377985"/>
    <w:rsid w:val="00380726"/>
    <w:rsid w:val="003901A4"/>
    <w:rsid w:val="003915AC"/>
    <w:rsid w:val="00392413"/>
    <w:rsid w:val="00393543"/>
    <w:rsid w:val="003971F1"/>
    <w:rsid w:val="003A2CD4"/>
    <w:rsid w:val="003A6CDD"/>
    <w:rsid w:val="003B22EA"/>
    <w:rsid w:val="003C3AC0"/>
    <w:rsid w:val="00401ADC"/>
    <w:rsid w:val="00402F79"/>
    <w:rsid w:val="004044A4"/>
    <w:rsid w:val="004054FE"/>
    <w:rsid w:val="00410CB9"/>
    <w:rsid w:val="0041266E"/>
    <w:rsid w:val="00432623"/>
    <w:rsid w:val="00441589"/>
    <w:rsid w:val="004B1497"/>
    <w:rsid w:val="004C0A95"/>
    <w:rsid w:val="004D1253"/>
    <w:rsid w:val="004D1C39"/>
    <w:rsid w:val="004D4501"/>
    <w:rsid w:val="004E0291"/>
    <w:rsid w:val="004E5F7D"/>
    <w:rsid w:val="004F250A"/>
    <w:rsid w:val="004F7271"/>
    <w:rsid w:val="00502177"/>
    <w:rsid w:val="0051049D"/>
    <w:rsid w:val="00532D6E"/>
    <w:rsid w:val="005430C2"/>
    <w:rsid w:val="00561373"/>
    <w:rsid w:val="00565F74"/>
    <w:rsid w:val="0057060D"/>
    <w:rsid w:val="00573058"/>
    <w:rsid w:val="005936B6"/>
    <w:rsid w:val="005A71F3"/>
    <w:rsid w:val="005B5878"/>
    <w:rsid w:val="005B73D7"/>
    <w:rsid w:val="005C0F97"/>
    <w:rsid w:val="005D6720"/>
    <w:rsid w:val="005E2A75"/>
    <w:rsid w:val="005E57DD"/>
    <w:rsid w:val="005F14D9"/>
    <w:rsid w:val="00617746"/>
    <w:rsid w:val="00641978"/>
    <w:rsid w:val="00644478"/>
    <w:rsid w:val="006579DA"/>
    <w:rsid w:val="00657F0A"/>
    <w:rsid w:val="006676B4"/>
    <w:rsid w:val="00677A62"/>
    <w:rsid w:val="00686DB4"/>
    <w:rsid w:val="00687B12"/>
    <w:rsid w:val="00694D5F"/>
    <w:rsid w:val="006A0B7B"/>
    <w:rsid w:val="006C32DD"/>
    <w:rsid w:val="006C53BE"/>
    <w:rsid w:val="006C78BA"/>
    <w:rsid w:val="006D34F8"/>
    <w:rsid w:val="006E21A6"/>
    <w:rsid w:val="006F1EB4"/>
    <w:rsid w:val="006F62F1"/>
    <w:rsid w:val="00703AA0"/>
    <w:rsid w:val="007061E3"/>
    <w:rsid w:val="00706375"/>
    <w:rsid w:val="00712694"/>
    <w:rsid w:val="0072609D"/>
    <w:rsid w:val="00736E01"/>
    <w:rsid w:val="00741244"/>
    <w:rsid w:val="00753F4F"/>
    <w:rsid w:val="00754B4B"/>
    <w:rsid w:val="00770C7B"/>
    <w:rsid w:val="00786102"/>
    <w:rsid w:val="00787852"/>
    <w:rsid w:val="00791D58"/>
    <w:rsid w:val="007A222D"/>
    <w:rsid w:val="007A49A7"/>
    <w:rsid w:val="007C2A0C"/>
    <w:rsid w:val="007E313E"/>
    <w:rsid w:val="007F6949"/>
    <w:rsid w:val="00814B11"/>
    <w:rsid w:val="00846BF6"/>
    <w:rsid w:val="00874C39"/>
    <w:rsid w:val="00890375"/>
    <w:rsid w:val="00897490"/>
    <w:rsid w:val="008A04F0"/>
    <w:rsid w:val="008A33C5"/>
    <w:rsid w:val="008A552C"/>
    <w:rsid w:val="008B3A0A"/>
    <w:rsid w:val="008C6668"/>
    <w:rsid w:val="008E2635"/>
    <w:rsid w:val="008F47CA"/>
    <w:rsid w:val="008F6E85"/>
    <w:rsid w:val="00925550"/>
    <w:rsid w:val="0095158E"/>
    <w:rsid w:val="009634FD"/>
    <w:rsid w:val="00971866"/>
    <w:rsid w:val="00981939"/>
    <w:rsid w:val="0098682A"/>
    <w:rsid w:val="009956B1"/>
    <w:rsid w:val="009B73FE"/>
    <w:rsid w:val="009C7F38"/>
    <w:rsid w:val="009E08FF"/>
    <w:rsid w:val="009E1A4A"/>
    <w:rsid w:val="009E68CD"/>
    <w:rsid w:val="009F0B37"/>
    <w:rsid w:val="009F21FC"/>
    <w:rsid w:val="00A12745"/>
    <w:rsid w:val="00A12BD8"/>
    <w:rsid w:val="00A50AE7"/>
    <w:rsid w:val="00A544A1"/>
    <w:rsid w:val="00A5783A"/>
    <w:rsid w:val="00A67D7D"/>
    <w:rsid w:val="00AB06B3"/>
    <w:rsid w:val="00AB0D2C"/>
    <w:rsid w:val="00AC1611"/>
    <w:rsid w:val="00AD3AA0"/>
    <w:rsid w:val="00AE566F"/>
    <w:rsid w:val="00B07075"/>
    <w:rsid w:val="00B229D4"/>
    <w:rsid w:val="00B2497F"/>
    <w:rsid w:val="00B347C8"/>
    <w:rsid w:val="00B37895"/>
    <w:rsid w:val="00B402B5"/>
    <w:rsid w:val="00B4045D"/>
    <w:rsid w:val="00B61120"/>
    <w:rsid w:val="00B6610B"/>
    <w:rsid w:val="00B70ED6"/>
    <w:rsid w:val="00B95F6A"/>
    <w:rsid w:val="00BA173B"/>
    <w:rsid w:val="00BB4493"/>
    <w:rsid w:val="00BC2BDB"/>
    <w:rsid w:val="00BC6471"/>
    <w:rsid w:val="00BD0BE2"/>
    <w:rsid w:val="00BE7877"/>
    <w:rsid w:val="00BF47C9"/>
    <w:rsid w:val="00C00D04"/>
    <w:rsid w:val="00C06EA7"/>
    <w:rsid w:val="00C130ED"/>
    <w:rsid w:val="00C209CB"/>
    <w:rsid w:val="00C22322"/>
    <w:rsid w:val="00C44D6E"/>
    <w:rsid w:val="00C47418"/>
    <w:rsid w:val="00C47509"/>
    <w:rsid w:val="00C50400"/>
    <w:rsid w:val="00C55852"/>
    <w:rsid w:val="00C62A59"/>
    <w:rsid w:val="00C77113"/>
    <w:rsid w:val="00C87DC4"/>
    <w:rsid w:val="00C9686C"/>
    <w:rsid w:val="00C96C79"/>
    <w:rsid w:val="00CD7A79"/>
    <w:rsid w:val="00D01AE1"/>
    <w:rsid w:val="00D040B8"/>
    <w:rsid w:val="00D12F3D"/>
    <w:rsid w:val="00D143BB"/>
    <w:rsid w:val="00D14AA2"/>
    <w:rsid w:val="00D17164"/>
    <w:rsid w:val="00D27540"/>
    <w:rsid w:val="00D34502"/>
    <w:rsid w:val="00D6451D"/>
    <w:rsid w:val="00D664A9"/>
    <w:rsid w:val="00D678BF"/>
    <w:rsid w:val="00D67C24"/>
    <w:rsid w:val="00D81BD3"/>
    <w:rsid w:val="00D83CEF"/>
    <w:rsid w:val="00D842A6"/>
    <w:rsid w:val="00DA699C"/>
    <w:rsid w:val="00DB1A0A"/>
    <w:rsid w:val="00DB33DE"/>
    <w:rsid w:val="00DD4B3B"/>
    <w:rsid w:val="00DE091E"/>
    <w:rsid w:val="00DE1A36"/>
    <w:rsid w:val="00DE2A9E"/>
    <w:rsid w:val="00E00672"/>
    <w:rsid w:val="00E01841"/>
    <w:rsid w:val="00E03990"/>
    <w:rsid w:val="00E329D4"/>
    <w:rsid w:val="00E71EE0"/>
    <w:rsid w:val="00E84834"/>
    <w:rsid w:val="00E865AD"/>
    <w:rsid w:val="00EA11E2"/>
    <w:rsid w:val="00EA68E1"/>
    <w:rsid w:val="00EE6E35"/>
    <w:rsid w:val="00EE710E"/>
    <w:rsid w:val="00F141C9"/>
    <w:rsid w:val="00F172A1"/>
    <w:rsid w:val="00F25CF1"/>
    <w:rsid w:val="00F45B93"/>
    <w:rsid w:val="00F45F79"/>
    <w:rsid w:val="00F46E55"/>
    <w:rsid w:val="00F60541"/>
    <w:rsid w:val="00F617C0"/>
    <w:rsid w:val="00F6284A"/>
    <w:rsid w:val="00F76790"/>
    <w:rsid w:val="00F90069"/>
    <w:rsid w:val="00FB5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B2B0"/>
  <w15:chartTrackingRefBased/>
  <w15:docId w15:val="{BFD40291-9C16-F443-A22C-3B3F1A11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5F74"/>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0145C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olo2">
    <w:name w:val="heading 2"/>
    <w:aliases w:val="Paper"/>
    <w:basedOn w:val="Normale"/>
    <w:next w:val="Normale"/>
    <w:link w:val="Titolo2Carattere"/>
    <w:autoRedefine/>
    <w:uiPriority w:val="9"/>
    <w:unhideWhenUsed/>
    <w:qFormat/>
    <w:rsid w:val="006E21A6"/>
    <w:pPr>
      <w:keepNext/>
      <w:keepLines/>
      <w:numPr>
        <w:numId w:val="11"/>
      </w:numPr>
      <w:spacing w:before="240" w:after="120"/>
      <w:jc w:val="both"/>
      <w:outlineLvl w:val="1"/>
    </w:pPr>
    <w:rPr>
      <w:rFonts w:ascii="Book Antiqua" w:eastAsiaTheme="majorEastAsia" w:hAnsi="Book Antiqua" w:cstheme="majorBidi"/>
      <w:b/>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qFormat/>
    <w:rsid w:val="00A67D7D"/>
    <w:rPr>
      <w:rFonts w:ascii="Book Antiqua" w:hAnsi="Book Antiqua"/>
      <w:color w:val="auto"/>
      <w:u w:val="none"/>
    </w:rPr>
  </w:style>
  <w:style w:type="paragraph" w:customStyle="1" w:styleId="Stile1">
    <w:name w:val="Stile1"/>
    <w:basedOn w:val="Titolo1"/>
    <w:qFormat/>
    <w:rsid w:val="000145CB"/>
    <w:pPr>
      <w:numPr>
        <w:numId w:val="1"/>
      </w:numPr>
    </w:pPr>
    <w:rPr>
      <w:rFonts w:ascii="Book Antiqua" w:hAnsi="Book Antiqua"/>
      <w:color w:val="auto"/>
      <w:sz w:val="28"/>
    </w:rPr>
  </w:style>
  <w:style w:type="character" w:customStyle="1" w:styleId="Titolo1Carattere">
    <w:name w:val="Titolo 1 Carattere"/>
    <w:basedOn w:val="Carpredefinitoparagrafo"/>
    <w:link w:val="Titolo1"/>
    <w:uiPriority w:val="9"/>
    <w:rsid w:val="000145CB"/>
    <w:rPr>
      <w:rFonts w:asciiTheme="majorHAnsi" w:eastAsiaTheme="majorEastAsia" w:hAnsiTheme="majorHAnsi" w:cstheme="majorBidi"/>
      <w:color w:val="2F5496" w:themeColor="accent1" w:themeShade="BF"/>
      <w:sz w:val="32"/>
      <w:szCs w:val="32"/>
    </w:rPr>
  </w:style>
  <w:style w:type="paragraph" w:customStyle="1" w:styleId="Monografia">
    <w:name w:val="Monografia"/>
    <w:basedOn w:val="Titolo1"/>
    <w:autoRedefine/>
    <w:qFormat/>
    <w:rsid w:val="000145CB"/>
    <w:pPr>
      <w:numPr>
        <w:numId w:val="2"/>
      </w:numPr>
    </w:pPr>
    <w:rPr>
      <w:rFonts w:ascii="Book Antiqua" w:hAnsi="Book Antiqua"/>
      <w:color w:val="auto"/>
      <w:sz w:val="24"/>
      <w:szCs w:val="24"/>
      <w:lang w:val="en-GB"/>
    </w:rPr>
  </w:style>
  <w:style w:type="character" w:customStyle="1" w:styleId="Titolo2Carattere">
    <w:name w:val="Titolo 2 Carattere"/>
    <w:aliases w:val="Paper Carattere"/>
    <w:basedOn w:val="Carpredefinitoparagrafo"/>
    <w:link w:val="Titolo2"/>
    <w:uiPriority w:val="9"/>
    <w:rsid w:val="006E21A6"/>
    <w:rPr>
      <w:rFonts w:ascii="Book Antiqua" w:eastAsiaTheme="majorEastAsia" w:hAnsi="Book Antiqua" w:cstheme="majorBidi"/>
      <w:b/>
      <w:lang w:val="en-US"/>
    </w:rPr>
  </w:style>
  <w:style w:type="character" w:customStyle="1" w:styleId="Menzionenonrisolta1">
    <w:name w:val="Menzione non risolta1"/>
    <w:basedOn w:val="Carpredefinitoparagrafo"/>
    <w:uiPriority w:val="99"/>
    <w:semiHidden/>
    <w:unhideWhenUsed/>
    <w:rsid w:val="00E329D4"/>
    <w:rPr>
      <w:color w:val="605E5C"/>
      <w:shd w:val="clear" w:color="auto" w:fill="E1DFDD"/>
    </w:rPr>
  </w:style>
  <w:style w:type="paragraph" w:styleId="NormaleWeb">
    <w:name w:val="Normal (Web)"/>
    <w:basedOn w:val="Normale"/>
    <w:uiPriority w:val="99"/>
    <w:unhideWhenUsed/>
    <w:rsid w:val="000A3DF4"/>
    <w:pPr>
      <w:spacing w:before="100" w:beforeAutospacing="1" w:after="100" w:afterAutospacing="1"/>
    </w:pPr>
  </w:style>
  <w:style w:type="character" w:customStyle="1" w:styleId="apple-converted-space">
    <w:name w:val="apple-converted-space"/>
    <w:basedOn w:val="Carpredefinitoparagrafo"/>
    <w:rsid w:val="00657F0A"/>
  </w:style>
  <w:style w:type="character" w:styleId="Rimandocommento">
    <w:name w:val="annotation reference"/>
    <w:basedOn w:val="Carpredefinitoparagrafo"/>
    <w:uiPriority w:val="99"/>
    <w:semiHidden/>
    <w:unhideWhenUsed/>
    <w:rsid w:val="00C44D6E"/>
    <w:rPr>
      <w:sz w:val="16"/>
      <w:szCs w:val="16"/>
    </w:rPr>
  </w:style>
  <w:style w:type="paragraph" w:styleId="Testocommento">
    <w:name w:val="annotation text"/>
    <w:basedOn w:val="Normale"/>
    <w:link w:val="TestocommentoCarattere"/>
    <w:uiPriority w:val="99"/>
    <w:semiHidden/>
    <w:unhideWhenUsed/>
    <w:rsid w:val="00C44D6E"/>
    <w:rPr>
      <w:sz w:val="20"/>
      <w:szCs w:val="20"/>
    </w:rPr>
  </w:style>
  <w:style w:type="character" w:customStyle="1" w:styleId="TestocommentoCarattere">
    <w:name w:val="Testo commento Carattere"/>
    <w:basedOn w:val="Carpredefinitoparagrafo"/>
    <w:link w:val="Testocommento"/>
    <w:uiPriority w:val="99"/>
    <w:semiHidden/>
    <w:rsid w:val="00C44D6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44D6E"/>
    <w:rPr>
      <w:b/>
      <w:bCs/>
    </w:rPr>
  </w:style>
  <w:style w:type="character" w:customStyle="1" w:styleId="SoggettocommentoCarattere">
    <w:name w:val="Soggetto commento Carattere"/>
    <w:basedOn w:val="TestocommentoCarattere"/>
    <w:link w:val="Soggettocommento"/>
    <w:uiPriority w:val="99"/>
    <w:semiHidden/>
    <w:rsid w:val="00C44D6E"/>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C44D6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4D6E"/>
    <w:rPr>
      <w:rFonts w:ascii="Segoe UI" w:eastAsia="Times New Roman" w:hAnsi="Segoe UI" w:cs="Segoe UI"/>
      <w:sz w:val="18"/>
      <w:szCs w:val="18"/>
      <w:lang w:eastAsia="it-IT"/>
    </w:rPr>
  </w:style>
  <w:style w:type="paragraph" w:styleId="Revisione">
    <w:name w:val="Revision"/>
    <w:hidden/>
    <w:uiPriority w:val="99"/>
    <w:semiHidden/>
    <w:rsid w:val="0051049D"/>
    <w:rPr>
      <w:rFonts w:ascii="Times New Roman" w:eastAsia="Times New Roman" w:hAnsi="Times New Roman" w:cs="Times New Roman"/>
      <w:lang w:eastAsia="it-IT"/>
    </w:rPr>
  </w:style>
  <w:style w:type="character" w:customStyle="1" w:styleId="Menzionenonrisolta2">
    <w:name w:val="Menzione non risolta2"/>
    <w:basedOn w:val="Carpredefinitoparagrafo"/>
    <w:uiPriority w:val="99"/>
    <w:semiHidden/>
    <w:unhideWhenUsed/>
    <w:rsid w:val="002B2CCA"/>
    <w:rPr>
      <w:color w:val="605E5C"/>
      <w:shd w:val="clear" w:color="auto" w:fill="E1DFDD"/>
    </w:rPr>
  </w:style>
  <w:style w:type="paragraph" w:styleId="Paragrafoelenco">
    <w:name w:val="List Paragraph"/>
    <w:basedOn w:val="Normale"/>
    <w:uiPriority w:val="34"/>
    <w:qFormat/>
    <w:rsid w:val="004054FE"/>
    <w:pPr>
      <w:ind w:left="720"/>
      <w:contextualSpacing/>
    </w:pPr>
  </w:style>
  <w:style w:type="character" w:styleId="Enfasigrassetto">
    <w:name w:val="Strong"/>
    <w:basedOn w:val="Carpredefinitoparagrafo"/>
    <w:uiPriority w:val="22"/>
    <w:qFormat/>
    <w:rsid w:val="00093322"/>
    <w:rPr>
      <w:b/>
      <w:bCs/>
    </w:rPr>
  </w:style>
  <w:style w:type="paragraph" w:styleId="Intestazione">
    <w:name w:val="header"/>
    <w:basedOn w:val="Normale"/>
    <w:link w:val="IntestazioneCarattere"/>
    <w:uiPriority w:val="99"/>
    <w:unhideWhenUsed/>
    <w:rsid w:val="00D12F3D"/>
    <w:pPr>
      <w:tabs>
        <w:tab w:val="center" w:pos="4819"/>
        <w:tab w:val="right" w:pos="9638"/>
      </w:tabs>
    </w:pPr>
  </w:style>
  <w:style w:type="character" w:customStyle="1" w:styleId="IntestazioneCarattere">
    <w:name w:val="Intestazione Carattere"/>
    <w:basedOn w:val="Carpredefinitoparagrafo"/>
    <w:link w:val="Intestazione"/>
    <w:uiPriority w:val="99"/>
    <w:rsid w:val="00D12F3D"/>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D12F3D"/>
    <w:pPr>
      <w:tabs>
        <w:tab w:val="center" w:pos="4819"/>
        <w:tab w:val="right" w:pos="9638"/>
      </w:tabs>
    </w:pPr>
  </w:style>
  <w:style w:type="character" w:customStyle="1" w:styleId="PidipaginaCarattere">
    <w:name w:val="Piè di pagina Carattere"/>
    <w:basedOn w:val="Carpredefinitoparagrafo"/>
    <w:link w:val="Pidipagina"/>
    <w:uiPriority w:val="99"/>
    <w:rsid w:val="00D12F3D"/>
    <w:rPr>
      <w:rFonts w:ascii="Times New Roman" w:eastAsia="Times New Roman" w:hAnsi="Times New Roman" w:cs="Times New Roman"/>
      <w:lang w:eastAsia="it-IT"/>
    </w:rPr>
  </w:style>
  <w:style w:type="table" w:styleId="Grigliatabella">
    <w:name w:val="Table Grid"/>
    <w:basedOn w:val="Tabellanormale"/>
    <w:uiPriority w:val="39"/>
    <w:rsid w:val="00F6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3971F1"/>
    <w:pPr>
      <w:numPr>
        <w:ilvl w:val="1"/>
      </w:numPr>
      <w:spacing w:before="240" w:after="240"/>
    </w:pPr>
    <w:rPr>
      <w:rFonts w:ascii="Book Antiqua" w:eastAsiaTheme="minorEastAsia" w:hAnsi="Book Antiqua" w:cstheme="minorBidi"/>
      <w:i/>
      <w:spacing w:val="15"/>
      <w:sz w:val="22"/>
      <w:szCs w:val="22"/>
    </w:rPr>
  </w:style>
  <w:style w:type="character" w:customStyle="1" w:styleId="SottotitoloCarattere">
    <w:name w:val="Sottotitolo Carattere"/>
    <w:basedOn w:val="Carpredefinitoparagrafo"/>
    <w:link w:val="Sottotitolo"/>
    <w:uiPriority w:val="11"/>
    <w:rsid w:val="003971F1"/>
    <w:rPr>
      <w:rFonts w:ascii="Book Antiqua" w:eastAsiaTheme="minorEastAsia" w:hAnsi="Book Antiqua"/>
      <w:i/>
      <w:spacing w:val="15"/>
      <w:sz w:val="22"/>
      <w:szCs w:val="22"/>
      <w:lang w:eastAsia="it-IT"/>
    </w:rPr>
  </w:style>
  <w:style w:type="paragraph" w:customStyle="1" w:styleId="Pa66">
    <w:name w:val="Pa66"/>
    <w:basedOn w:val="Normale"/>
    <w:next w:val="Normale"/>
    <w:uiPriority w:val="99"/>
    <w:rsid w:val="00A12745"/>
    <w:pPr>
      <w:autoSpaceDE w:val="0"/>
      <w:autoSpaceDN w:val="0"/>
      <w:adjustRightInd w:val="0"/>
      <w:spacing w:line="201" w:lineRule="atLeast"/>
    </w:pPr>
    <w:rPr>
      <w:rFonts w:ascii="Arial" w:eastAsiaTheme="minorHAnsi" w:hAnsi="Arial" w:cs="Arial"/>
      <w:lang w:val="en-GB" w:eastAsia="en-US"/>
    </w:rPr>
  </w:style>
  <w:style w:type="paragraph" w:customStyle="1" w:styleId="Pa59">
    <w:name w:val="Pa59"/>
    <w:basedOn w:val="Normale"/>
    <w:next w:val="Normale"/>
    <w:uiPriority w:val="99"/>
    <w:rsid w:val="00A12745"/>
    <w:pPr>
      <w:autoSpaceDE w:val="0"/>
      <w:autoSpaceDN w:val="0"/>
      <w:adjustRightInd w:val="0"/>
      <w:spacing w:line="201" w:lineRule="atLeast"/>
    </w:pPr>
    <w:rPr>
      <w:rFonts w:ascii="Arial" w:eastAsiaTheme="minorHAnsi" w:hAnsi="Arial" w:cs="Arial"/>
      <w:lang w:val="en-GB" w:eastAsia="en-US"/>
    </w:rPr>
  </w:style>
  <w:style w:type="paragraph" w:customStyle="1" w:styleId="Pa12">
    <w:name w:val="Pa12"/>
    <w:basedOn w:val="Normale"/>
    <w:next w:val="Normale"/>
    <w:uiPriority w:val="99"/>
    <w:rsid w:val="00D27540"/>
    <w:pPr>
      <w:autoSpaceDE w:val="0"/>
      <w:autoSpaceDN w:val="0"/>
      <w:adjustRightInd w:val="0"/>
      <w:spacing w:line="201" w:lineRule="atLeast"/>
    </w:pPr>
    <w:rPr>
      <w:rFonts w:ascii="Arial" w:eastAsiaTheme="minorHAnsi" w:hAnsi="Arial" w:cs="Arial"/>
      <w:lang w:val="en-GB" w:eastAsia="en-US"/>
    </w:rPr>
  </w:style>
  <w:style w:type="paragraph" w:customStyle="1" w:styleId="Default">
    <w:name w:val="Default"/>
    <w:rsid w:val="00D27540"/>
    <w:pPr>
      <w:autoSpaceDE w:val="0"/>
      <w:autoSpaceDN w:val="0"/>
      <w:adjustRightInd w:val="0"/>
    </w:pPr>
    <w:rPr>
      <w:rFonts w:ascii="Arial" w:hAnsi="Arial" w:cs="Arial"/>
      <w:color w:val="000000"/>
      <w:lang w:val="en-GB"/>
    </w:rPr>
  </w:style>
  <w:style w:type="paragraph" w:customStyle="1" w:styleId="Pa35">
    <w:name w:val="Pa35"/>
    <w:basedOn w:val="Default"/>
    <w:next w:val="Default"/>
    <w:uiPriority w:val="99"/>
    <w:rsid w:val="00D27540"/>
    <w:pPr>
      <w:spacing w:line="201" w:lineRule="atLeast"/>
    </w:pPr>
    <w:rPr>
      <w:color w:val="auto"/>
    </w:rPr>
  </w:style>
  <w:style w:type="character" w:customStyle="1" w:styleId="A23">
    <w:name w:val="A23"/>
    <w:uiPriority w:val="99"/>
    <w:rsid w:val="00D27540"/>
    <w:rPr>
      <w:color w:val="000000"/>
      <w:sz w:val="16"/>
      <w:szCs w:val="16"/>
    </w:rPr>
  </w:style>
  <w:style w:type="character" w:customStyle="1" w:styleId="A18">
    <w:name w:val="A18"/>
    <w:uiPriority w:val="99"/>
    <w:rsid w:val="00D27540"/>
    <w:rPr>
      <w:color w:val="000000"/>
    </w:rPr>
  </w:style>
  <w:style w:type="paragraph" w:customStyle="1" w:styleId="Pa15">
    <w:name w:val="Pa15"/>
    <w:basedOn w:val="Default"/>
    <w:next w:val="Default"/>
    <w:uiPriority w:val="99"/>
    <w:rsid w:val="008F6E85"/>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4833">
      <w:bodyDiv w:val="1"/>
      <w:marLeft w:val="0"/>
      <w:marRight w:val="0"/>
      <w:marTop w:val="0"/>
      <w:marBottom w:val="0"/>
      <w:divBdr>
        <w:top w:val="none" w:sz="0" w:space="0" w:color="auto"/>
        <w:left w:val="none" w:sz="0" w:space="0" w:color="auto"/>
        <w:bottom w:val="none" w:sz="0" w:space="0" w:color="auto"/>
        <w:right w:val="none" w:sz="0" w:space="0" w:color="auto"/>
      </w:divBdr>
      <w:divsChild>
        <w:div w:id="2039425621">
          <w:marLeft w:val="0"/>
          <w:marRight w:val="0"/>
          <w:marTop w:val="0"/>
          <w:marBottom w:val="0"/>
          <w:divBdr>
            <w:top w:val="none" w:sz="0" w:space="0" w:color="auto"/>
            <w:left w:val="none" w:sz="0" w:space="0" w:color="auto"/>
            <w:bottom w:val="none" w:sz="0" w:space="0" w:color="auto"/>
            <w:right w:val="none" w:sz="0" w:space="0" w:color="auto"/>
          </w:divBdr>
          <w:divsChild>
            <w:div w:id="602570681">
              <w:marLeft w:val="0"/>
              <w:marRight w:val="0"/>
              <w:marTop w:val="0"/>
              <w:marBottom w:val="0"/>
              <w:divBdr>
                <w:top w:val="none" w:sz="0" w:space="0" w:color="auto"/>
                <w:left w:val="none" w:sz="0" w:space="0" w:color="auto"/>
                <w:bottom w:val="none" w:sz="0" w:space="0" w:color="auto"/>
                <w:right w:val="none" w:sz="0" w:space="0" w:color="auto"/>
              </w:divBdr>
              <w:divsChild>
                <w:div w:id="1163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4287">
      <w:bodyDiv w:val="1"/>
      <w:marLeft w:val="0"/>
      <w:marRight w:val="0"/>
      <w:marTop w:val="0"/>
      <w:marBottom w:val="0"/>
      <w:divBdr>
        <w:top w:val="none" w:sz="0" w:space="0" w:color="auto"/>
        <w:left w:val="none" w:sz="0" w:space="0" w:color="auto"/>
        <w:bottom w:val="none" w:sz="0" w:space="0" w:color="auto"/>
        <w:right w:val="none" w:sz="0" w:space="0" w:color="auto"/>
      </w:divBdr>
    </w:div>
    <w:div w:id="235358425">
      <w:bodyDiv w:val="1"/>
      <w:marLeft w:val="0"/>
      <w:marRight w:val="0"/>
      <w:marTop w:val="0"/>
      <w:marBottom w:val="0"/>
      <w:divBdr>
        <w:top w:val="none" w:sz="0" w:space="0" w:color="auto"/>
        <w:left w:val="none" w:sz="0" w:space="0" w:color="auto"/>
        <w:bottom w:val="none" w:sz="0" w:space="0" w:color="auto"/>
        <w:right w:val="none" w:sz="0" w:space="0" w:color="auto"/>
      </w:divBdr>
    </w:div>
    <w:div w:id="294993471">
      <w:bodyDiv w:val="1"/>
      <w:marLeft w:val="0"/>
      <w:marRight w:val="0"/>
      <w:marTop w:val="0"/>
      <w:marBottom w:val="0"/>
      <w:divBdr>
        <w:top w:val="none" w:sz="0" w:space="0" w:color="auto"/>
        <w:left w:val="none" w:sz="0" w:space="0" w:color="auto"/>
        <w:bottom w:val="none" w:sz="0" w:space="0" w:color="auto"/>
        <w:right w:val="none" w:sz="0" w:space="0" w:color="auto"/>
      </w:divBdr>
    </w:div>
    <w:div w:id="367997263">
      <w:bodyDiv w:val="1"/>
      <w:marLeft w:val="0"/>
      <w:marRight w:val="0"/>
      <w:marTop w:val="0"/>
      <w:marBottom w:val="0"/>
      <w:divBdr>
        <w:top w:val="none" w:sz="0" w:space="0" w:color="auto"/>
        <w:left w:val="none" w:sz="0" w:space="0" w:color="auto"/>
        <w:bottom w:val="none" w:sz="0" w:space="0" w:color="auto"/>
        <w:right w:val="none" w:sz="0" w:space="0" w:color="auto"/>
      </w:divBdr>
    </w:div>
    <w:div w:id="410589213">
      <w:bodyDiv w:val="1"/>
      <w:marLeft w:val="0"/>
      <w:marRight w:val="0"/>
      <w:marTop w:val="0"/>
      <w:marBottom w:val="0"/>
      <w:divBdr>
        <w:top w:val="none" w:sz="0" w:space="0" w:color="auto"/>
        <w:left w:val="none" w:sz="0" w:space="0" w:color="auto"/>
        <w:bottom w:val="none" w:sz="0" w:space="0" w:color="auto"/>
        <w:right w:val="none" w:sz="0" w:space="0" w:color="auto"/>
      </w:divBdr>
      <w:divsChild>
        <w:div w:id="1663266688">
          <w:marLeft w:val="0"/>
          <w:marRight w:val="0"/>
          <w:marTop w:val="0"/>
          <w:marBottom w:val="0"/>
          <w:divBdr>
            <w:top w:val="none" w:sz="0" w:space="0" w:color="auto"/>
            <w:left w:val="none" w:sz="0" w:space="0" w:color="auto"/>
            <w:bottom w:val="none" w:sz="0" w:space="0" w:color="auto"/>
            <w:right w:val="none" w:sz="0" w:space="0" w:color="auto"/>
          </w:divBdr>
          <w:divsChild>
            <w:div w:id="413092148">
              <w:marLeft w:val="0"/>
              <w:marRight w:val="0"/>
              <w:marTop w:val="0"/>
              <w:marBottom w:val="0"/>
              <w:divBdr>
                <w:top w:val="none" w:sz="0" w:space="0" w:color="auto"/>
                <w:left w:val="none" w:sz="0" w:space="0" w:color="auto"/>
                <w:bottom w:val="none" w:sz="0" w:space="0" w:color="auto"/>
                <w:right w:val="none" w:sz="0" w:space="0" w:color="auto"/>
              </w:divBdr>
              <w:divsChild>
                <w:div w:id="20834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7855">
      <w:bodyDiv w:val="1"/>
      <w:marLeft w:val="0"/>
      <w:marRight w:val="0"/>
      <w:marTop w:val="0"/>
      <w:marBottom w:val="0"/>
      <w:divBdr>
        <w:top w:val="none" w:sz="0" w:space="0" w:color="auto"/>
        <w:left w:val="none" w:sz="0" w:space="0" w:color="auto"/>
        <w:bottom w:val="none" w:sz="0" w:space="0" w:color="auto"/>
        <w:right w:val="none" w:sz="0" w:space="0" w:color="auto"/>
      </w:divBdr>
    </w:div>
    <w:div w:id="627396236">
      <w:bodyDiv w:val="1"/>
      <w:marLeft w:val="0"/>
      <w:marRight w:val="0"/>
      <w:marTop w:val="0"/>
      <w:marBottom w:val="0"/>
      <w:divBdr>
        <w:top w:val="none" w:sz="0" w:space="0" w:color="auto"/>
        <w:left w:val="none" w:sz="0" w:space="0" w:color="auto"/>
        <w:bottom w:val="none" w:sz="0" w:space="0" w:color="auto"/>
        <w:right w:val="none" w:sz="0" w:space="0" w:color="auto"/>
      </w:divBdr>
      <w:divsChild>
        <w:div w:id="1311786100">
          <w:marLeft w:val="0"/>
          <w:marRight w:val="0"/>
          <w:marTop w:val="0"/>
          <w:marBottom w:val="0"/>
          <w:divBdr>
            <w:top w:val="none" w:sz="0" w:space="0" w:color="auto"/>
            <w:left w:val="none" w:sz="0" w:space="0" w:color="auto"/>
            <w:bottom w:val="none" w:sz="0" w:space="0" w:color="auto"/>
            <w:right w:val="none" w:sz="0" w:space="0" w:color="auto"/>
          </w:divBdr>
          <w:divsChild>
            <w:div w:id="1998193076">
              <w:marLeft w:val="0"/>
              <w:marRight w:val="0"/>
              <w:marTop w:val="0"/>
              <w:marBottom w:val="0"/>
              <w:divBdr>
                <w:top w:val="none" w:sz="0" w:space="0" w:color="auto"/>
                <w:left w:val="none" w:sz="0" w:space="0" w:color="auto"/>
                <w:bottom w:val="none" w:sz="0" w:space="0" w:color="auto"/>
                <w:right w:val="none" w:sz="0" w:space="0" w:color="auto"/>
              </w:divBdr>
              <w:divsChild>
                <w:div w:id="17048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2174">
      <w:bodyDiv w:val="1"/>
      <w:marLeft w:val="0"/>
      <w:marRight w:val="0"/>
      <w:marTop w:val="0"/>
      <w:marBottom w:val="0"/>
      <w:divBdr>
        <w:top w:val="none" w:sz="0" w:space="0" w:color="auto"/>
        <w:left w:val="none" w:sz="0" w:space="0" w:color="auto"/>
        <w:bottom w:val="none" w:sz="0" w:space="0" w:color="auto"/>
        <w:right w:val="none" w:sz="0" w:space="0" w:color="auto"/>
      </w:divBdr>
    </w:div>
    <w:div w:id="696197150">
      <w:bodyDiv w:val="1"/>
      <w:marLeft w:val="0"/>
      <w:marRight w:val="0"/>
      <w:marTop w:val="0"/>
      <w:marBottom w:val="0"/>
      <w:divBdr>
        <w:top w:val="none" w:sz="0" w:space="0" w:color="auto"/>
        <w:left w:val="none" w:sz="0" w:space="0" w:color="auto"/>
        <w:bottom w:val="none" w:sz="0" w:space="0" w:color="auto"/>
        <w:right w:val="none" w:sz="0" w:space="0" w:color="auto"/>
      </w:divBdr>
    </w:div>
    <w:div w:id="833226410">
      <w:bodyDiv w:val="1"/>
      <w:marLeft w:val="0"/>
      <w:marRight w:val="0"/>
      <w:marTop w:val="0"/>
      <w:marBottom w:val="0"/>
      <w:divBdr>
        <w:top w:val="none" w:sz="0" w:space="0" w:color="auto"/>
        <w:left w:val="none" w:sz="0" w:space="0" w:color="auto"/>
        <w:bottom w:val="none" w:sz="0" w:space="0" w:color="auto"/>
        <w:right w:val="none" w:sz="0" w:space="0" w:color="auto"/>
      </w:divBdr>
    </w:div>
    <w:div w:id="854609755">
      <w:bodyDiv w:val="1"/>
      <w:marLeft w:val="0"/>
      <w:marRight w:val="0"/>
      <w:marTop w:val="0"/>
      <w:marBottom w:val="0"/>
      <w:divBdr>
        <w:top w:val="none" w:sz="0" w:space="0" w:color="auto"/>
        <w:left w:val="none" w:sz="0" w:space="0" w:color="auto"/>
        <w:bottom w:val="none" w:sz="0" w:space="0" w:color="auto"/>
        <w:right w:val="none" w:sz="0" w:space="0" w:color="auto"/>
      </w:divBdr>
    </w:div>
    <w:div w:id="904342376">
      <w:bodyDiv w:val="1"/>
      <w:marLeft w:val="0"/>
      <w:marRight w:val="0"/>
      <w:marTop w:val="0"/>
      <w:marBottom w:val="0"/>
      <w:divBdr>
        <w:top w:val="none" w:sz="0" w:space="0" w:color="auto"/>
        <w:left w:val="none" w:sz="0" w:space="0" w:color="auto"/>
        <w:bottom w:val="none" w:sz="0" w:space="0" w:color="auto"/>
        <w:right w:val="none" w:sz="0" w:space="0" w:color="auto"/>
      </w:divBdr>
    </w:div>
    <w:div w:id="1213617404">
      <w:bodyDiv w:val="1"/>
      <w:marLeft w:val="0"/>
      <w:marRight w:val="0"/>
      <w:marTop w:val="0"/>
      <w:marBottom w:val="0"/>
      <w:divBdr>
        <w:top w:val="none" w:sz="0" w:space="0" w:color="auto"/>
        <w:left w:val="none" w:sz="0" w:space="0" w:color="auto"/>
        <w:bottom w:val="none" w:sz="0" w:space="0" w:color="auto"/>
        <w:right w:val="none" w:sz="0" w:space="0" w:color="auto"/>
      </w:divBdr>
    </w:div>
    <w:div w:id="1332677796">
      <w:bodyDiv w:val="1"/>
      <w:marLeft w:val="0"/>
      <w:marRight w:val="0"/>
      <w:marTop w:val="0"/>
      <w:marBottom w:val="0"/>
      <w:divBdr>
        <w:top w:val="none" w:sz="0" w:space="0" w:color="auto"/>
        <w:left w:val="none" w:sz="0" w:space="0" w:color="auto"/>
        <w:bottom w:val="none" w:sz="0" w:space="0" w:color="auto"/>
        <w:right w:val="none" w:sz="0" w:space="0" w:color="auto"/>
      </w:divBdr>
    </w:div>
    <w:div w:id="1387333696">
      <w:bodyDiv w:val="1"/>
      <w:marLeft w:val="0"/>
      <w:marRight w:val="0"/>
      <w:marTop w:val="0"/>
      <w:marBottom w:val="0"/>
      <w:divBdr>
        <w:top w:val="none" w:sz="0" w:space="0" w:color="auto"/>
        <w:left w:val="none" w:sz="0" w:space="0" w:color="auto"/>
        <w:bottom w:val="none" w:sz="0" w:space="0" w:color="auto"/>
        <w:right w:val="none" w:sz="0" w:space="0" w:color="auto"/>
      </w:divBdr>
    </w:div>
    <w:div w:id="1427505341">
      <w:bodyDiv w:val="1"/>
      <w:marLeft w:val="0"/>
      <w:marRight w:val="0"/>
      <w:marTop w:val="0"/>
      <w:marBottom w:val="0"/>
      <w:divBdr>
        <w:top w:val="none" w:sz="0" w:space="0" w:color="auto"/>
        <w:left w:val="none" w:sz="0" w:space="0" w:color="auto"/>
        <w:bottom w:val="none" w:sz="0" w:space="0" w:color="auto"/>
        <w:right w:val="none" w:sz="0" w:space="0" w:color="auto"/>
      </w:divBdr>
      <w:divsChild>
        <w:div w:id="1088622949">
          <w:marLeft w:val="0"/>
          <w:marRight w:val="0"/>
          <w:marTop w:val="0"/>
          <w:marBottom w:val="0"/>
          <w:divBdr>
            <w:top w:val="none" w:sz="0" w:space="0" w:color="auto"/>
            <w:left w:val="none" w:sz="0" w:space="0" w:color="auto"/>
            <w:bottom w:val="none" w:sz="0" w:space="0" w:color="auto"/>
            <w:right w:val="none" w:sz="0" w:space="0" w:color="auto"/>
          </w:divBdr>
          <w:divsChild>
            <w:div w:id="131487194">
              <w:marLeft w:val="0"/>
              <w:marRight w:val="0"/>
              <w:marTop w:val="0"/>
              <w:marBottom w:val="0"/>
              <w:divBdr>
                <w:top w:val="none" w:sz="0" w:space="0" w:color="auto"/>
                <w:left w:val="none" w:sz="0" w:space="0" w:color="auto"/>
                <w:bottom w:val="none" w:sz="0" w:space="0" w:color="auto"/>
                <w:right w:val="none" w:sz="0" w:space="0" w:color="auto"/>
              </w:divBdr>
              <w:divsChild>
                <w:div w:id="11426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0735">
      <w:bodyDiv w:val="1"/>
      <w:marLeft w:val="0"/>
      <w:marRight w:val="0"/>
      <w:marTop w:val="0"/>
      <w:marBottom w:val="0"/>
      <w:divBdr>
        <w:top w:val="none" w:sz="0" w:space="0" w:color="auto"/>
        <w:left w:val="none" w:sz="0" w:space="0" w:color="auto"/>
        <w:bottom w:val="none" w:sz="0" w:space="0" w:color="auto"/>
        <w:right w:val="none" w:sz="0" w:space="0" w:color="auto"/>
      </w:divBdr>
    </w:div>
    <w:div w:id="1719740632">
      <w:bodyDiv w:val="1"/>
      <w:marLeft w:val="0"/>
      <w:marRight w:val="0"/>
      <w:marTop w:val="0"/>
      <w:marBottom w:val="0"/>
      <w:divBdr>
        <w:top w:val="none" w:sz="0" w:space="0" w:color="auto"/>
        <w:left w:val="none" w:sz="0" w:space="0" w:color="auto"/>
        <w:bottom w:val="none" w:sz="0" w:space="0" w:color="auto"/>
        <w:right w:val="none" w:sz="0" w:space="0" w:color="auto"/>
      </w:divBdr>
      <w:divsChild>
        <w:div w:id="352541034">
          <w:marLeft w:val="0"/>
          <w:marRight w:val="0"/>
          <w:marTop w:val="0"/>
          <w:marBottom w:val="0"/>
          <w:divBdr>
            <w:top w:val="none" w:sz="0" w:space="0" w:color="auto"/>
            <w:left w:val="none" w:sz="0" w:space="0" w:color="auto"/>
            <w:bottom w:val="none" w:sz="0" w:space="0" w:color="auto"/>
            <w:right w:val="none" w:sz="0" w:space="0" w:color="auto"/>
          </w:divBdr>
          <w:divsChild>
            <w:div w:id="1437601069">
              <w:marLeft w:val="0"/>
              <w:marRight w:val="0"/>
              <w:marTop w:val="0"/>
              <w:marBottom w:val="0"/>
              <w:divBdr>
                <w:top w:val="none" w:sz="0" w:space="0" w:color="auto"/>
                <w:left w:val="none" w:sz="0" w:space="0" w:color="auto"/>
                <w:bottom w:val="none" w:sz="0" w:space="0" w:color="auto"/>
                <w:right w:val="none" w:sz="0" w:space="0" w:color="auto"/>
              </w:divBdr>
              <w:divsChild>
                <w:div w:id="1748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4094">
      <w:bodyDiv w:val="1"/>
      <w:marLeft w:val="0"/>
      <w:marRight w:val="0"/>
      <w:marTop w:val="0"/>
      <w:marBottom w:val="0"/>
      <w:divBdr>
        <w:top w:val="none" w:sz="0" w:space="0" w:color="auto"/>
        <w:left w:val="none" w:sz="0" w:space="0" w:color="auto"/>
        <w:bottom w:val="none" w:sz="0" w:space="0" w:color="auto"/>
        <w:right w:val="none" w:sz="0" w:space="0" w:color="auto"/>
      </w:divBdr>
    </w:div>
    <w:div w:id="1969511902">
      <w:bodyDiv w:val="1"/>
      <w:marLeft w:val="0"/>
      <w:marRight w:val="0"/>
      <w:marTop w:val="0"/>
      <w:marBottom w:val="0"/>
      <w:divBdr>
        <w:top w:val="none" w:sz="0" w:space="0" w:color="auto"/>
        <w:left w:val="none" w:sz="0" w:space="0" w:color="auto"/>
        <w:bottom w:val="none" w:sz="0" w:space="0" w:color="auto"/>
        <w:right w:val="none" w:sz="0" w:space="0" w:color="auto"/>
      </w:divBdr>
    </w:div>
    <w:div w:id="1971276744">
      <w:bodyDiv w:val="1"/>
      <w:marLeft w:val="0"/>
      <w:marRight w:val="0"/>
      <w:marTop w:val="0"/>
      <w:marBottom w:val="0"/>
      <w:divBdr>
        <w:top w:val="none" w:sz="0" w:space="0" w:color="auto"/>
        <w:left w:val="none" w:sz="0" w:space="0" w:color="auto"/>
        <w:bottom w:val="none" w:sz="0" w:space="0" w:color="auto"/>
        <w:right w:val="none" w:sz="0" w:space="0" w:color="auto"/>
      </w:divBdr>
    </w:div>
    <w:div w:id="2014063309">
      <w:bodyDiv w:val="1"/>
      <w:marLeft w:val="0"/>
      <w:marRight w:val="0"/>
      <w:marTop w:val="0"/>
      <w:marBottom w:val="0"/>
      <w:divBdr>
        <w:top w:val="none" w:sz="0" w:space="0" w:color="auto"/>
        <w:left w:val="none" w:sz="0" w:space="0" w:color="auto"/>
        <w:bottom w:val="none" w:sz="0" w:space="0" w:color="auto"/>
        <w:right w:val="none" w:sz="0" w:space="0" w:color="auto"/>
      </w:divBdr>
      <w:divsChild>
        <w:div w:id="495003040">
          <w:marLeft w:val="0"/>
          <w:marRight w:val="0"/>
          <w:marTop w:val="0"/>
          <w:marBottom w:val="0"/>
          <w:divBdr>
            <w:top w:val="none" w:sz="0" w:space="0" w:color="auto"/>
            <w:left w:val="none" w:sz="0" w:space="0" w:color="auto"/>
            <w:bottom w:val="none" w:sz="0" w:space="0" w:color="auto"/>
            <w:right w:val="none" w:sz="0" w:space="0" w:color="auto"/>
          </w:divBdr>
          <w:divsChild>
            <w:div w:id="2019965677">
              <w:marLeft w:val="0"/>
              <w:marRight w:val="0"/>
              <w:marTop w:val="0"/>
              <w:marBottom w:val="0"/>
              <w:divBdr>
                <w:top w:val="none" w:sz="0" w:space="0" w:color="auto"/>
                <w:left w:val="none" w:sz="0" w:space="0" w:color="auto"/>
                <w:bottom w:val="none" w:sz="0" w:space="0" w:color="auto"/>
                <w:right w:val="none" w:sz="0" w:space="0" w:color="auto"/>
              </w:divBdr>
              <w:divsChild>
                <w:div w:id="20577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5013">
      <w:bodyDiv w:val="1"/>
      <w:marLeft w:val="0"/>
      <w:marRight w:val="0"/>
      <w:marTop w:val="0"/>
      <w:marBottom w:val="0"/>
      <w:divBdr>
        <w:top w:val="none" w:sz="0" w:space="0" w:color="auto"/>
        <w:left w:val="none" w:sz="0" w:space="0" w:color="auto"/>
        <w:bottom w:val="none" w:sz="0" w:space="0" w:color="auto"/>
        <w:right w:val="none" w:sz="0" w:space="0" w:color="auto"/>
      </w:divBdr>
    </w:div>
    <w:div w:id="2111311129">
      <w:bodyDiv w:val="1"/>
      <w:marLeft w:val="0"/>
      <w:marRight w:val="0"/>
      <w:marTop w:val="0"/>
      <w:marBottom w:val="0"/>
      <w:divBdr>
        <w:top w:val="none" w:sz="0" w:space="0" w:color="auto"/>
        <w:left w:val="none" w:sz="0" w:space="0" w:color="auto"/>
        <w:bottom w:val="none" w:sz="0" w:space="0" w:color="auto"/>
        <w:right w:val="none" w:sz="0" w:space="0" w:color="auto"/>
      </w:divBdr>
    </w:div>
    <w:div w:id="2146582935">
      <w:bodyDiv w:val="1"/>
      <w:marLeft w:val="0"/>
      <w:marRight w:val="0"/>
      <w:marTop w:val="0"/>
      <w:marBottom w:val="0"/>
      <w:divBdr>
        <w:top w:val="none" w:sz="0" w:space="0" w:color="auto"/>
        <w:left w:val="none" w:sz="0" w:space="0" w:color="auto"/>
        <w:bottom w:val="none" w:sz="0" w:space="0" w:color="auto"/>
        <w:right w:val="none" w:sz="0" w:space="0" w:color="auto"/>
      </w:divBdr>
      <w:divsChild>
        <w:div w:id="796144910">
          <w:marLeft w:val="0"/>
          <w:marRight w:val="0"/>
          <w:marTop w:val="0"/>
          <w:marBottom w:val="0"/>
          <w:divBdr>
            <w:top w:val="none" w:sz="0" w:space="0" w:color="auto"/>
            <w:left w:val="none" w:sz="0" w:space="0" w:color="auto"/>
            <w:bottom w:val="none" w:sz="0" w:space="0" w:color="auto"/>
            <w:right w:val="none" w:sz="0" w:space="0" w:color="auto"/>
          </w:divBdr>
          <w:divsChild>
            <w:div w:id="1409768846">
              <w:marLeft w:val="0"/>
              <w:marRight w:val="0"/>
              <w:marTop w:val="0"/>
              <w:marBottom w:val="0"/>
              <w:divBdr>
                <w:top w:val="none" w:sz="0" w:space="0" w:color="auto"/>
                <w:left w:val="none" w:sz="0" w:space="0" w:color="auto"/>
                <w:bottom w:val="none" w:sz="0" w:space="0" w:color="auto"/>
                <w:right w:val="none" w:sz="0" w:space="0" w:color="auto"/>
              </w:divBdr>
              <w:divsChild>
                <w:div w:id="18231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Prodromos%20Chatzoglou" TargetMode="External"/><Relationship Id="rId13" Type="http://schemas.openxmlformats.org/officeDocument/2006/relationships/hyperlink" Target="https://doi.org/10.1108/EMJB-12-2016-0035" TargetMode="External"/><Relationship Id="rId18" Type="http://schemas.openxmlformats.org/officeDocument/2006/relationships/hyperlink" Target="https://doi.org/10.1108/EMJB-11-2017-0044"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merald.com/insight/publication/issn/1450-2194" TargetMode="External"/><Relationship Id="rId17" Type="http://schemas.openxmlformats.org/officeDocument/2006/relationships/hyperlink" Target="https://www.emerald.com/insight/publication/issn/1450-2194" TargetMode="External"/><Relationship Id="rId2" Type="http://schemas.openxmlformats.org/officeDocument/2006/relationships/numbering" Target="numbering.xml"/><Relationship Id="rId16" Type="http://schemas.openxmlformats.org/officeDocument/2006/relationships/hyperlink" Target="https://www.emerald.com/insight/search?q=Sohila%20Khorashadizade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com/insight/search?q=Vassilios%20Aggelidis" TargetMode="External"/><Relationship Id="rId5" Type="http://schemas.openxmlformats.org/officeDocument/2006/relationships/webSettings" Target="webSettings.xml"/><Relationship Id="rId15" Type="http://schemas.openxmlformats.org/officeDocument/2006/relationships/hyperlink" Target="https://www.emerald.com/insight/search?q=Mahmoud%20Lari%20DashtBayaz" TargetMode="External"/><Relationship Id="rId23" Type="http://schemas.openxmlformats.org/officeDocument/2006/relationships/theme" Target="theme/theme1.xml"/><Relationship Id="rId10" Type="http://schemas.openxmlformats.org/officeDocument/2006/relationships/hyperlink" Target="https://www.emerald.com/insight/search?q=Vasiliki%20Amaranto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merald.com/insight/search?q=Dimitrios%20Chatzoudes" TargetMode="External"/><Relationship Id="rId14" Type="http://schemas.openxmlformats.org/officeDocument/2006/relationships/hyperlink" Target="https://www.emerald.com/insight/search?q=Mahdi%20Saleh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DDFD4-5FEC-40FF-85DA-1957ABDA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13927</Words>
  <Characters>79385</Characters>
  <Application>Microsoft Office Word</Application>
  <DocSecurity>0</DocSecurity>
  <Lines>661</Lines>
  <Paragraphs>186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Fiandrino</dc:creator>
  <cp:keywords/>
  <dc:description/>
  <cp:lastModifiedBy>Simona Fiandrino</cp:lastModifiedBy>
  <cp:revision>8</cp:revision>
  <cp:lastPrinted>2019-05-10T16:07:00Z</cp:lastPrinted>
  <dcterms:created xsi:type="dcterms:W3CDTF">2019-11-11T11:49:00Z</dcterms:created>
  <dcterms:modified xsi:type="dcterms:W3CDTF">2019-11-11T12:44:00Z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e1a52013-3183-3706-8ea1-c23e3f1dc3b4</vt:lpwstr>
  </property>
  <property fmtid="{D5CDD505-2E9C-101B-9397-08002B2CF9AE}" pid="24" name="Mendeley Citation Style_1">
    <vt:lpwstr>http://www.zotero.org/styles/harvard-cite-them-right</vt:lpwstr>
  </property>
</Properties>
</file>